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8"/>
      </w:tblGrid>
      <w:tr w:rsidR="007B1D53" w14:paraId="3B4E510F" w14:textId="77777777" w:rsidTr="007B1D53">
        <w:tc>
          <w:tcPr>
            <w:tcW w:w="15614" w:type="dxa"/>
            <w:tcBorders>
              <w:bottom w:val="single" w:sz="4" w:space="0" w:color="auto"/>
            </w:tcBorders>
          </w:tcPr>
          <w:p w14:paraId="0580DA96" w14:textId="1A96A6F0" w:rsidR="007B1D53" w:rsidRDefault="00D1618A" w:rsidP="00850F55">
            <w:r>
              <w:rPr>
                <w:color w:val="A6A6A6" w:themeColor="background1" w:themeShade="A6"/>
                <w:sz w:val="56"/>
              </w:rPr>
              <w:t>3-4</w:t>
            </w:r>
            <w:r w:rsidR="007B1D53" w:rsidRPr="007B1D53">
              <w:rPr>
                <w:color w:val="A6A6A6" w:themeColor="background1" w:themeShade="A6"/>
                <w:sz w:val="56"/>
              </w:rPr>
              <w:t xml:space="preserve"> </w:t>
            </w:r>
            <w:r w:rsidR="00850F55">
              <w:rPr>
                <w:sz w:val="56"/>
              </w:rPr>
              <w:t>Bronchospasm</w:t>
            </w:r>
            <w:r w:rsidR="00184D82">
              <w:rPr>
                <w:sz w:val="56"/>
              </w:rPr>
              <w:t xml:space="preserve"> </w:t>
            </w:r>
            <w:r w:rsidR="00EA4772">
              <w:t>v.</w:t>
            </w:r>
            <w:r w:rsidR="00880696">
              <w:t xml:space="preserve">3 </w:t>
            </w:r>
          </w:p>
        </w:tc>
      </w:tr>
      <w:tr w:rsidR="007B1D53" w14:paraId="62C48317" w14:textId="77777777" w:rsidTr="007B1D53">
        <w:tc>
          <w:tcPr>
            <w:tcW w:w="15614" w:type="dxa"/>
            <w:tcBorders>
              <w:top w:val="single" w:sz="4" w:space="0" w:color="auto"/>
              <w:bottom w:val="single" w:sz="4" w:space="0" w:color="auto"/>
            </w:tcBorders>
          </w:tcPr>
          <w:p w14:paraId="46887880" w14:textId="77777777" w:rsidR="007B1D53" w:rsidRDefault="0054274C" w:rsidP="007B1D53">
            <w:r>
              <w:t>S</w:t>
            </w:r>
            <w:r w:rsidR="00850F55">
              <w:t>igns and symptoms</w:t>
            </w:r>
            <w:r>
              <w:t xml:space="preserve"> include</w:t>
            </w:r>
            <w:r w:rsidR="005240AA">
              <w:t>: e</w:t>
            </w:r>
            <w:r w:rsidR="00850F55">
              <w:t xml:space="preserve">xpiratory wheeze, prolonged expiration, increased inflation pressures, desaturation, hypercapnia, </w:t>
            </w:r>
            <w:r>
              <w:t>upsloping</w:t>
            </w:r>
            <w:r w:rsidR="00850F55">
              <w:t xml:space="preserve"> capnograph trace, silent chest</w:t>
            </w:r>
            <w:r w:rsidR="00D1618A">
              <w:t>.</w:t>
            </w:r>
          </w:p>
          <w:p w14:paraId="7C83AE59" w14:textId="77777777" w:rsidR="00850F55" w:rsidRDefault="00850F55" w:rsidP="007B1D53">
            <w:r>
              <w:t>Can occur alone or as part of another problem</w:t>
            </w:r>
            <w:r w:rsidR="00D1618A">
              <w:t>.</w:t>
            </w:r>
          </w:p>
        </w:tc>
      </w:tr>
    </w:tbl>
    <w:tbl>
      <w:tblPr>
        <w:tblStyle w:val="LightList-Accent4"/>
        <w:tblpPr w:leftFromText="180" w:rightFromText="180" w:vertAnchor="text" w:horzAnchor="margin" w:tblpXSpec="right" w:tblpY="101"/>
        <w:tblW w:w="0" w:type="auto"/>
        <w:tblLook w:val="04A0" w:firstRow="1" w:lastRow="0" w:firstColumn="1" w:lastColumn="0" w:noHBand="0" w:noVBand="1"/>
      </w:tblPr>
      <w:tblGrid>
        <w:gridCol w:w="6917"/>
      </w:tblGrid>
      <w:tr w:rsidR="00880696" w14:paraId="43170F5C" w14:textId="77777777" w:rsidTr="00880696">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6917" w:type="dxa"/>
          </w:tcPr>
          <w:p w14:paraId="196B43DC" w14:textId="77777777" w:rsidR="00880696" w:rsidRDefault="00880696" w:rsidP="00880696">
            <w:r>
              <w:t>Box A: ALTERNATES and MIMICS</w:t>
            </w:r>
          </w:p>
        </w:tc>
      </w:tr>
      <w:tr w:rsidR="00880696" w14:paraId="1C242AAC" w14:textId="77777777" w:rsidTr="00880696">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6917" w:type="dxa"/>
          </w:tcPr>
          <w:p w14:paraId="66B51E5A" w14:textId="0800AF37" w:rsidR="00880696" w:rsidRPr="00A544D1" w:rsidRDefault="00880696" w:rsidP="00880696">
            <w:pPr>
              <w:rPr>
                <w:b w:val="0"/>
                <w:sz w:val="18"/>
              </w:rPr>
            </w:pPr>
            <w:r w:rsidRPr="00A544D1">
              <w:rPr>
                <w:sz w:val="18"/>
              </w:rPr>
              <w:t xml:space="preserve">Wheeze: </w:t>
            </w:r>
            <w:r w:rsidRPr="00BD4115">
              <w:rPr>
                <w:b w:val="0"/>
                <w:sz w:val="18"/>
              </w:rPr>
              <w:t>pulmonary oedema; ARDS; laryngospasm</w:t>
            </w:r>
          </w:p>
          <w:p w14:paraId="4D5A4C0B" w14:textId="13B0DF50" w:rsidR="00880696" w:rsidRPr="00B00495" w:rsidRDefault="00880696" w:rsidP="00880696">
            <w:pPr>
              <w:rPr>
                <w:b w:val="0"/>
              </w:rPr>
            </w:pPr>
            <w:r w:rsidRPr="00A544D1">
              <w:rPr>
                <w:sz w:val="18"/>
              </w:rPr>
              <w:t>Raised airway pressure:</w:t>
            </w:r>
            <w:r w:rsidRPr="00BD4115">
              <w:rPr>
                <w:b w:val="0"/>
                <w:sz w:val="18"/>
              </w:rPr>
              <w:t xml:space="preserve"> obstruction of larynx, trachea or bronchi; decreased lung compliance; pneumothorax</w:t>
            </w:r>
          </w:p>
        </w:tc>
      </w:tr>
    </w:tbl>
    <w:p w14:paraId="223250FC" w14:textId="4300CB71" w:rsidR="009266E8" w:rsidRDefault="00965F2D">
      <w:r>
        <w:rPr>
          <w:noProof/>
          <w:color w:val="A6A6A6" w:themeColor="background1" w:themeShade="A6"/>
          <w:sz w:val="56"/>
          <w:lang w:eastAsia="en-GB"/>
        </w:rPr>
        <mc:AlternateContent>
          <mc:Choice Requires="wps">
            <w:drawing>
              <wp:anchor distT="0" distB="0" distL="114300" distR="114300" simplePos="0" relativeHeight="251659264" behindDoc="0" locked="0" layoutInCell="1" allowOverlap="1" wp14:anchorId="0C1606E9" wp14:editId="3B864B4D">
                <wp:simplePos x="0" y="0"/>
                <wp:positionH relativeFrom="column">
                  <wp:posOffset>-146050</wp:posOffset>
                </wp:positionH>
                <wp:positionV relativeFrom="paragraph">
                  <wp:posOffset>126365</wp:posOffset>
                </wp:positionV>
                <wp:extent cx="5327015" cy="53213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5321300"/>
                        </a:xfrm>
                        <a:prstGeom prst="rect">
                          <a:avLst/>
                        </a:prstGeom>
                        <a:solidFill>
                          <a:srgbClr val="FFFFFF"/>
                        </a:solidFill>
                        <a:ln w="9525">
                          <a:noFill/>
                          <a:miter lim="800000"/>
                          <a:headEnd/>
                          <a:tailEnd/>
                        </a:ln>
                      </wps:spPr>
                      <wps:txbx>
                        <w:txbxContent>
                          <w:p w14:paraId="36FEF53C" w14:textId="77777777" w:rsidR="00B43CDE" w:rsidRPr="00136000" w:rsidRDefault="00B43CDE" w:rsidP="007B1D53">
                            <w:pPr>
                              <w:rPr>
                                <w:rFonts w:cstheme="minorHAnsi"/>
                                <w:color w:val="FFFFFF" w:themeColor="background1"/>
                                <w:sz w:val="36"/>
                              </w:rPr>
                            </w:pPr>
                            <w:r>
                              <w:rPr>
                                <w:rFonts w:cstheme="minorHAnsi"/>
                                <w:color w:val="FFFFFF" w:themeColor="background1"/>
                                <w:sz w:val="36"/>
                                <w:highlight w:val="black"/>
                              </w:rPr>
                              <w:t xml:space="preserve"> STA</w:t>
                            </w:r>
                            <w:r w:rsidRPr="00136000">
                              <w:rPr>
                                <w:rFonts w:cstheme="minorHAnsi"/>
                                <w:color w:val="FFFFFF" w:themeColor="background1"/>
                                <w:sz w:val="36"/>
                                <w:highlight w:val="black"/>
                              </w:rPr>
                              <w:t>RT</w:t>
                            </w:r>
                            <w:r w:rsidRPr="00136000">
                              <w:rPr>
                                <w:rFonts w:cstheme="minorHAnsi"/>
                                <w:sz w:val="36"/>
                                <w:highlight w:val="black"/>
                              </w:rPr>
                              <w:t>.</w:t>
                            </w:r>
                          </w:p>
                          <w:p w14:paraId="6E12C6A7" w14:textId="77777777" w:rsidR="00B43CDE" w:rsidRPr="00F35FAD" w:rsidRDefault="00B43CDE" w:rsidP="00F35FAD">
                            <w:pPr>
                              <w:spacing w:after="60" w:line="240" w:lineRule="auto"/>
                            </w:pPr>
                            <w:r w:rsidRPr="00F35FAD">
                              <w:rPr>
                                <w:rFonts w:cstheme="minorHAnsi"/>
                              </w:rPr>
                              <w:t xml:space="preserve">❶ </w:t>
                            </w:r>
                            <w:r w:rsidRPr="00F35FAD">
                              <w:t>Call for help and i</w:t>
                            </w:r>
                            <w:r w:rsidRPr="00F35FAD">
                              <w:rPr>
                                <w:rFonts w:cstheme="minorHAnsi"/>
                              </w:rPr>
                              <w:t>nform</w:t>
                            </w:r>
                            <w:r w:rsidRPr="00F35FAD">
                              <w:t xml:space="preserve"> theatre team of problem</w:t>
                            </w:r>
                            <w:r w:rsidR="00C541FB" w:rsidRPr="00F35FAD">
                              <w:t>.</w:t>
                            </w:r>
                          </w:p>
                          <w:p w14:paraId="615BD5EC" w14:textId="77777777" w:rsidR="00B43CDE" w:rsidRPr="00F35FAD" w:rsidRDefault="00C541FB" w:rsidP="00F35FAD">
                            <w:pPr>
                              <w:spacing w:after="60" w:line="240" w:lineRule="auto"/>
                            </w:pPr>
                            <w:r w:rsidRPr="00F35FAD">
                              <w:rPr>
                                <w:rFonts w:cstheme="minorHAnsi"/>
                              </w:rPr>
                              <w:t xml:space="preserve">❷ </w:t>
                            </w:r>
                            <w:r w:rsidR="00F82ACE" w:rsidRPr="00F35FAD">
                              <w:t>Give 100% oxygen</w:t>
                            </w:r>
                            <w:r w:rsidRPr="00F35FAD">
                              <w:t>.</w:t>
                            </w:r>
                          </w:p>
                          <w:p w14:paraId="1B2AB63F" w14:textId="77777777" w:rsidR="00B43CDE" w:rsidRPr="00F35FAD" w:rsidRDefault="00C541FB" w:rsidP="00F35FAD">
                            <w:pPr>
                              <w:spacing w:after="60" w:line="240" w:lineRule="auto"/>
                            </w:pPr>
                            <w:r w:rsidRPr="00F35FAD">
                              <w:rPr>
                                <w:rFonts w:cstheme="minorHAnsi"/>
                              </w:rPr>
                              <w:t xml:space="preserve">❸ </w:t>
                            </w:r>
                            <w:r w:rsidR="00F82ACE" w:rsidRPr="00F35FAD">
                              <w:rPr>
                                <w:rFonts w:cstheme="minorHAnsi"/>
                              </w:rPr>
                              <w:t>Stop surgery / other stimulation</w:t>
                            </w:r>
                            <w:r w:rsidRPr="00F35FAD">
                              <w:rPr>
                                <w:rFonts w:cstheme="minorHAnsi"/>
                              </w:rPr>
                              <w:t>.</w:t>
                            </w:r>
                          </w:p>
                          <w:p w14:paraId="509E5DDC" w14:textId="77777777" w:rsidR="00F82ACE" w:rsidRPr="00F35FAD" w:rsidRDefault="00C541FB" w:rsidP="004905FF">
                            <w:pPr>
                              <w:spacing w:after="0" w:line="240" w:lineRule="auto"/>
                              <w:rPr>
                                <w:rFonts w:cstheme="minorHAnsi"/>
                              </w:rPr>
                            </w:pPr>
                            <w:r w:rsidRPr="00F35FAD">
                              <w:rPr>
                                <w:rFonts w:cstheme="minorHAnsi"/>
                              </w:rPr>
                              <w:t xml:space="preserve">❹ </w:t>
                            </w:r>
                            <w:r w:rsidR="00F82ACE" w:rsidRPr="00F35FAD">
                              <w:rPr>
                                <w:rFonts w:cstheme="minorHAnsi"/>
                              </w:rPr>
                              <w:t>Fully expose the chest and perform a rapid systematic examination:</w:t>
                            </w:r>
                          </w:p>
                          <w:p w14:paraId="6683ABFE" w14:textId="77777777" w:rsidR="00F82ACE" w:rsidRPr="00F35FAD" w:rsidRDefault="00F82ACE" w:rsidP="004905FF">
                            <w:pPr>
                              <w:pStyle w:val="ListParagraph"/>
                              <w:numPr>
                                <w:ilvl w:val="0"/>
                                <w:numId w:val="11"/>
                              </w:numPr>
                              <w:spacing w:after="0" w:line="240" w:lineRule="auto"/>
                            </w:pPr>
                            <w:r w:rsidRPr="00F35FAD">
                              <w:rPr>
                                <w:rFonts w:cstheme="minorHAnsi"/>
                              </w:rPr>
                              <w:t>Inspect, percuss, palpate, auscultate</w:t>
                            </w:r>
                            <w:r w:rsidR="00C541FB" w:rsidRPr="00F35FAD">
                              <w:rPr>
                                <w:rFonts w:cstheme="minorHAnsi"/>
                              </w:rPr>
                              <w:t>.</w:t>
                            </w:r>
                          </w:p>
                          <w:p w14:paraId="646A1EC4" w14:textId="77777777" w:rsidR="00B43CDE" w:rsidRPr="00F35FAD" w:rsidRDefault="00F82ACE" w:rsidP="00F35FAD">
                            <w:pPr>
                              <w:pStyle w:val="ListParagraph"/>
                              <w:numPr>
                                <w:ilvl w:val="0"/>
                                <w:numId w:val="11"/>
                              </w:numPr>
                              <w:spacing w:after="60" w:line="240" w:lineRule="auto"/>
                            </w:pPr>
                            <w:r w:rsidRPr="00F35FAD">
                              <w:rPr>
                                <w:rFonts w:cstheme="minorHAnsi"/>
                              </w:rPr>
                              <w:t>Absence of wheeze may indicate severe bronchospasm with no air movement</w:t>
                            </w:r>
                            <w:r w:rsidR="00C541FB" w:rsidRPr="00F35FAD">
                              <w:rPr>
                                <w:rFonts w:cstheme="minorHAnsi"/>
                              </w:rPr>
                              <w:t>.</w:t>
                            </w:r>
                          </w:p>
                          <w:p w14:paraId="562B29D5" w14:textId="77777777" w:rsidR="00F82ACE" w:rsidRPr="00F35FAD" w:rsidRDefault="00C541FB" w:rsidP="004905FF">
                            <w:pPr>
                              <w:spacing w:after="0" w:line="240" w:lineRule="auto"/>
                              <w:rPr>
                                <w:rFonts w:cstheme="minorHAnsi"/>
                              </w:rPr>
                            </w:pPr>
                            <w:r w:rsidRPr="00F35FAD">
                              <w:rPr>
                                <w:rFonts w:cstheme="minorHAnsi"/>
                              </w:rPr>
                              <w:t xml:space="preserve">❺ </w:t>
                            </w:r>
                            <w:r w:rsidR="00F82ACE" w:rsidRPr="00F35FAD">
                              <w:rPr>
                                <w:rFonts w:cstheme="minorHAnsi"/>
                              </w:rPr>
                              <w:t>Deepen anaesthesia:</w:t>
                            </w:r>
                          </w:p>
                          <w:p w14:paraId="3B6B9BC4" w14:textId="4F6AF01C" w:rsidR="00F82ACE" w:rsidRPr="00F35FAD" w:rsidRDefault="00F82ACE" w:rsidP="004905FF">
                            <w:pPr>
                              <w:pStyle w:val="ListParagraph"/>
                              <w:numPr>
                                <w:ilvl w:val="0"/>
                                <w:numId w:val="9"/>
                              </w:numPr>
                              <w:spacing w:after="0" w:line="240" w:lineRule="auto"/>
                            </w:pPr>
                            <w:r w:rsidRPr="00F35FAD">
                              <w:t>Inhalational anaesth</w:t>
                            </w:r>
                            <w:r w:rsidR="00C541FB" w:rsidRPr="00F35FAD">
                              <w:t>etic agents are bronchodilators</w:t>
                            </w:r>
                            <w:r w:rsidR="004139C8">
                              <w:t xml:space="preserve"> AND</w:t>
                            </w:r>
                            <w:r w:rsidR="004139C8" w:rsidRPr="004139C8">
                              <w:t xml:space="preserve"> </w:t>
                            </w:r>
                            <w:r w:rsidR="004139C8">
                              <w:t>b</w:t>
                            </w:r>
                            <w:r w:rsidR="004139C8" w:rsidRPr="00F35FAD">
                              <w:t>ronchospasm may be a consequence of light anaesthesia.</w:t>
                            </w:r>
                          </w:p>
                          <w:p w14:paraId="2A438C04" w14:textId="77777777" w:rsidR="00B43CDE" w:rsidRPr="00F35FAD" w:rsidRDefault="009E066F" w:rsidP="00F35FAD">
                            <w:pPr>
                              <w:pStyle w:val="ListParagraph"/>
                              <w:numPr>
                                <w:ilvl w:val="0"/>
                                <w:numId w:val="9"/>
                              </w:numPr>
                              <w:spacing w:after="60" w:line="240" w:lineRule="auto"/>
                            </w:pPr>
                            <w:r w:rsidRPr="00F35FAD">
                              <w:t>Avoid</w:t>
                            </w:r>
                            <w:r w:rsidR="00F82ACE" w:rsidRPr="00F35FAD">
                              <w:t xml:space="preserve"> isoflurane or desflurane </w:t>
                            </w:r>
                            <w:r w:rsidRPr="00F35FAD">
                              <w:t xml:space="preserve">if possible – airway </w:t>
                            </w:r>
                            <w:r w:rsidR="00F82ACE" w:rsidRPr="00F35FAD">
                              <w:t>irritant if increased rapidly</w:t>
                            </w:r>
                            <w:r w:rsidR="00C541FB" w:rsidRPr="00F35FAD">
                              <w:t>.</w:t>
                            </w:r>
                          </w:p>
                          <w:p w14:paraId="7C5F38CF" w14:textId="4EF0B798" w:rsidR="00F82ACE" w:rsidRPr="009420D5" w:rsidRDefault="00C541FB" w:rsidP="004905FF">
                            <w:pPr>
                              <w:spacing w:after="0" w:line="240" w:lineRule="auto"/>
                            </w:pPr>
                            <w:r w:rsidRPr="00F35FAD">
                              <w:rPr>
                                <w:rFonts w:cstheme="minorHAnsi"/>
                              </w:rPr>
                              <w:t xml:space="preserve">❻ </w:t>
                            </w:r>
                            <w:r w:rsidR="00F82ACE" w:rsidRPr="009420D5">
                              <w:t>Exclude</w:t>
                            </w:r>
                            <w:r w:rsidR="00E65EAD" w:rsidRPr="009420D5">
                              <w:t xml:space="preserve"> conditions that may </w:t>
                            </w:r>
                            <w:r w:rsidR="00D8476D" w:rsidRPr="009420D5">
                              <w:t>be misinterpreted as</w:t>
                            </w:r>
                            <w:r w:rsidR="00E65EAD" w:rsidRPr="009420D5">
                              <w:t xml:space="preserve"> bronchospasm:</w:t>
                            </w:r>
                          </w:p>
                          <w:p w14:paraId="200DA872" w14:textId="67F77673" w:rsidR="00E65EAD" w:rsidRPr="009420D5" w:rsidRDefault="00D8476D" w:rsidP="004905FF">
                            <w:pPr>
                              <w:pStyle w:val="ListParagraph"/>
                              <w:numPr>
                                <w:ilvl w:val="0"/>
                                <w:numId w:val="10"/>
                              </w:numPr>
                              <w:spacing w:after="0" w:line="240" w:lineRule="auto"/>
                            </w:pPr>
                            <w:r w:rsidRPr="009420D5">
                              <w:t>Mispositioned</w:t>
                            </w:r>
                            <w:r w:rsidR="00E65EAD" w:rsidRPr="009420D5">
                              <w:t xml:space="preserve"> or o</w:t>
                            </w:r>
                            <w:r w:rsidR="004139C8" w:rsidRPr="009420D5">
                              <w:t>ccluded</w:t>
                            </w:r>
                            <w:r w:rsidR="00E65EAD" w:rsidRPr="009420D5">
                              <w:t xml:space="preserve"> </w:t>
                            </w:r>
                            <w:r w:rsidR="00A443B9">
                              <w:t>airway device</w:t>
                            </w:r>
                          </w:p>
                          <w:p w14:paraId="329514FD" w14:textId="3FB9BCAF" w:rsidR="00E65EAD" w:rsidRPr="009420D5" w:rsidRDefault="00D8476D" w:rsidP="004905FF">
                            <w:pPr>
                              <w:pStyle w:val="ListParagraph"/>
                              <w:numPr>
                                <w:ilvl w:val="0"/>
                                <w:numId w:val="10"/>
                              </w:numPr>
                              <w:spacing w:after="0" w:line="240" w:lineRule="auto"/>
                            </w:pPr>
                            <w:r w:rsidRPr="009420D5">
                              <w:t>E</w:t>
                            </w:r>
                            <w:r w:rsidR="00F82ACE" w:rsidRPr="009420D5">
                              <w:t>ndobronchial or oesophageal intubation</w:t>
                            </w:r>
                          </w:p>
                          <w:p w14:paraId="3EFFDDAB" w14:textId="3FC6CB67" w:rsidR="00D8476D" w:rsidRPr="009420D5" w:rsidRDefault="00D8476D" w:rsidP="00F35FAD">
                            <w:pPr>
                              <w:pStyle w:val="ListParagraph"/>
                              <w:numPr>
                                <w:ilvl w:val="0"/>
                                <w:numId w:val="10"/>
                              </w:numPr>
                              <w:spacing w:after="60" w:line="240" w:lineRule="auto"/>
                            </w:pPr>
                            <w:r w:rsidRPr="009420D5">
                              <w:t>Occlusion of breathing system – check all hoses</w:t>
                            </w:r>
                          </w:p>
                          <w:p w14:paraId="6C1368B7" w14:textId="1D4E8356" w:rsidR="00B43CDE" w:rsidRPr="009420D5" w:rsidRDefault="00E65EAD" w:rsidP="00F35FAD">
                            <w:pPr>
                              <w:pStyle w:val="ListParagraph"/>
                              <w:numPr>
                                <w:ilvl w:val="0"/>
                                <w:numId w:val="10"/>
                              </w:numPr>
                              <w:spacing w:after="60" w:line="240" w:lineRule="auto"/>
                            </w:pPr>
                            <w:r w:rsidRPr="009420D5">
                              <w:rPr>
                                <w:rFonts w:cstheme="minorHAnsi"/>
                              </w:rPr>
                              <w:t xml:space="preserve">Consider </w:t>
                            </w:r>
                            <w:r w:rsidR="00D8476D" w:rsidRPr="009420D5">
                              <w:rPr>
                                <w:rFonts w:cstheme="minorHAnsi"/>
                              </w:rPr>
                              <w:t>other conditions</w:t>
                            </w:r>
                            <w:r w:rsidRPr="009420D5">
                              <w:rPr>
                                <w:rFonts w:cstheme="minorHAnsi"/>
                              </w:rPr>
                              <w:t xml:space="preserve"> mimicking bronchospasm (Box </w:t>
                            </w:r>
                            <w:r w:rsidR="00D8476D" w:rsidRPr="009420D5">
                              <w:rPr>
                                <w:rFonts w:cstheme="minorHAnsi"/>
                              </w:rPr>
                              <w:t>A</w:t>
                            </w:r>
                            <w:r w:rsidRPr="009420D5">
                              <w:rPr>
                                <w:rFonts w:cstheme="minorHAnsi"/>
                              </w:rPr>
                              <w:t>).</w:t>
                            </w:r>
                          </w:p>
                          <w:p w14:paraId="3FA516B6" w14:textId="404711BD" w:rsidR="00B43CDE" w:rsidRPr="00F35FAD" w:rsidRDefault="00C541FB" w:rsidP="00F35FAD">
                            <w:pPr>
                              <w:spacing w:after="60" w:line="240" w:lineRule="auto"/>
                            </w:pPr>
                            <w:r w:rsidRPr="00F35FAD">
                              <w:rPr>
                                <w:rFonts w:cstheme="minorHAnsi"/>
                              </w:rPr>
                              <w:t xml:space="preserve">❼ </w:t>
                            </w:r>
                            <w:r w:rsidR="0091713C">
                              <w:t>Consider</w:t>
                            </w:r>
                            <w:r w:rsidR="00F82ACE" w:rsidRPr="00F35FAD">
                              <w:t xml:space="preserve"> anaphylaxis</w:t>
                            </w:r>
                            <w:r w:rsidR="0091713C">
                              <w:t>; if</w:t>
                            </w:r>
                            <w:r w:rsidR="00F82ACE" w:rsidRPr="00F35FAD">
                              <w:t xml:space="preserve"> suspected </w:t>
                            </w:r>
                            <w:r w:rsidR="006E50BC" w:rsidRPr="00F35FAD">
                              <w:rPr>
                                <w:rFonts w:ascii="Calibri" w:hAnsi="Calibri" w:cs="Calibri"/>
                                <w:b/>
                              </w:rPr>
                              <w:t>→</w:t>
                            </w:r>
                            <w:r w:rsidR="00F82ACE" w:rsidRPr="00F35FAD">
                              <w:rPr>
                                <w:b/>
                              </w:rPr>
                              <w:t xml:space="preserve"> </w:t>
                            </w:r>
                            <w:r w:rsidR="00D1618A" w:rsidRPr="00F35FAD">
                              <w:rPr>
                                <w:b/>
                              </w:rPr>
                              <w:t>3-1</w:t>
                            </w:r>
                          </w:p>
                          <w:p w14:paraId="3B65230D" w14:textId="18A2DC8D" w:rsidR="00B43CDE" w:rsidRPr="00F35FAD" w:rsidRDefault="00C541FB" w:rsidP="00F35FAD">
                            <w:pPr>
                              <w:spacing w:after="60" w:line="240" w:lineRule="auto"/>
                            </w:pPr>
                            <w:r w:rsidRPr="00F35FAD">
                              <w:rPr>
                                <w:rFonts w:cstheme="minorHAnsi"/>
                              </w:rPr>
                              <w:t xml:space="preserve">❽ </w:t>
                            </w:r>
                            <w:r w:rsidR="009420D5" w:rsidRPr="00F35FAD">
                              <w:rPr>
                                <w:rFonts w:cstheme="minorHAnsi"/>
                              </w:rPr>
                              <w:t xml:space="preserve">Treat bronchospasm (Box </w:t>
                            </w:r>
                            <w:r w:rsidR="009420D5">
                              <w:rPr>
                                <w:rFonts w:cstheme="minorHAnsi"/>
                              </w:rPr>
                              <w:t>B</w:t>
                            </w:r>
                            <w:r w:rsidR="009420D5" w:rsidRPr="00F35FAD">
                              <w:rPr>
                                <w:rFonts w:cstheme="minorHAnsi"/>
                              </w:rPr>
                              <w:t xml:space="preserve">). First line is salbutamol by metered dose inhaler or by </w:t>
                            </w:r>
                            <w:r w:rsidR="009420D5">
                              <w:rPr>
                                <w:rFonts w:cstheme="minorHAnsi"/>
                              </w:rPr>
                              <w:t xml:space="preserve">     </w:t>
                            </w:r>
                            <w:r w:rsidR="009420D5" w:rsidRPr="00F35FAD">
                              <w:rPr>
                                <w:rFonts w:cstheme="minorHAnsi"/>
                              </w:rPr>
                              <w:t>nebuliser</w:t>
                            </w:r>
                            <w:r w:rsidR="00A443B9">
                              <w:rPr>
                                <w:rFonts w:cstheme="minorHAnsi"/>
                              </w:rPr>
                              <w:t xml:space="preserve"> (remove HME </w:t>
                            </w:r>
                            <w:r w:rsidR="00530EDF">
                              <w:rPr>
                                <w:rFonts w:cstheme="minorHAnsi"/>
                              </w:rPr>
                              <w:t xml:space="preserve">filter </w:t>
                            </w:r>
                            <w:r w:rsidR="00A443B9">
                              <w:rPr>
                                <w:rFonts w:cstheme="minorHAnsi"/>
                              </w:rPr>
                              <w:t>or nebulise downstream)</w:t>
                            </w:r>
                            <w:r w:rsidR="009420D5" w:rsidRPr="00F35FAD">
                              <w:rPr>
                                <w:rFonts w:cstheme="minorHAnsi"/>
                              </w:rPr>
                              <w:t xml:space="preserve">; </w:t>
                            </w:r>
                            <w:proofErr w:type="spellStart"/>
                            <w:r w:rsidR="009420D5" w:rsidRPr="00F35FAD">
                              <w:rPr>
                                <w:rFonts w:cstheme="minorHAnsi"/>
                              </w:rPr>
                              <w:t>i.v.</w:t>
                            </w:r>
                            <w:proofErr w:type="spellEnd"/>
                            <w:r w:rsidR="009420D5" w:rsidRPr="00F35FAD">
                              <w:rPr>
                                <w:rFonts w:cstheme="minorHAnsi"/>
                              </w:rPr>
                              <w:t xml:space="preserve"> route is second line. Other drugs at clinician discretion.</w:t>
                            </w:r>
                          </w:p>
                          <w:p w14:paraId="31FE88E2" w14:textId="5C4FAA8C" w:rsidR="00B43CDE" w:rsidRPr="00F35FAD" w:rsidRDefault="00C541FB" w:rsidP="00F35FAD">
                            <w:pPr>
                              <w:spacing w:after="60" w:line="240" w:lineRule="auto"/>
                              <w:ind w:left="426" w:hanging="426"/>
                              <w:rPr>
                                <w:rFonts w:cstheme="minorHAnsi"/>
                                <w:b/>
                              </w:rPr>
                            </w:pPr>
                            <w:r w:rsidRPr="00F35FAD">
                              <w:rPr>
                                <w:rFonts w:cstheme="minorHAnsi"/>
                                <w:b/>
                              </w:rPr>
                              <w:t xml:space="preserve">❾ </w:t>
                            </w:r>
                            <w:r w:rsidR="009420D5" w:rsidRPr="00F35FAD">
                              <w:rPr>
                                <w:rFonts w:cstheme="minorHAnsi"/>
                              </w:rPr>
                              <w:t>If airway soiling/aspiration suspected airway</w:t>
                            </w:r>
                            <w:r w:rsidR="00477198">
                              <w:rPr>
                                <w:rFonts w:cstheme="minorHAnsi"/>
                              </w:rPr>
                              <w:t xml:space="preserve">, see </w:t>
                            </w:r>
                            <w:r w:rsidR="009420D5" w:rsidRPr="00F35FAD">
                              <w:rPr>
                                <w:rFonts w:cstheme="minorHAnsi"/>
                              </w:rPr>
                              <w:t xml:space="preserve">Box </w:t>
                            </w:r>
                            <w:r w:rsidR="009420D5">
                              <w:rPr>
                                <w:rFonts w:cstheme="minorHAnsi"/>
                              </w:rPr>
                              <w:t>C</w:t>
                            </w:r>
                            <w:r w:rsidR="009420D5" w:rsidRPr="00F35FAD">
                              <w:rPr>
                                <w:rFonts w:cstheme="minorHAnsi"/>
                              </w:rPr>
                              <w:t>.</w:t>
                            </w:r>
                          </w:p>
                          <w:p w14:paraId="0CD613CE" w14:textId="5719F806" w:rsidR="00B43CDE" w:rsidRPr="00F35FAD" w:rsidRDefault="00C541FB" w:rsidP="00F35FAD">
                            <w:pPr>
                              <w:spacing w:after="60" w:line="240" w:lineRule="auto"/>
                              <w:rPr>
                                <w:rFonts w:cstheme="minorHAnsi"/>
                              </w:rPr>
                            </w:pPr>
                            <w:r w:rsidRPr="00F35FAD">
                              <w:rPr>
                                <w:rFonts w:cstheme="minorHAnsi"/>
                              </w:rPr>
                              <w:t xml:space="preserve">❿ </w:t>
                            </w:r>
                            <w:r w:rsidR="00D8476D" w:rsidRPr="00F35FAD">
                              <w:rPr>
                                <w:rFonts w:cstheme="minorHAnsi"/>
                              </w:rPr>
                              <w:t>Use appropriate ventilation strategy (Box D).</w:t>
                            </w:r>
                          </w:p>
                          <w:p w14:paraId="0BC2872D" w14:textId="4888AD59" w:rsidR="00B43CDE" w:rsidRPr="00F35FAD" w:rsidRDefault="00C541FB" w:rsidP="00F35FAD">
                            <w:pPr>
                              <w:spacing w:after="60" w:line="240" w:lineRule="auto"/>
                              <w:rPr>
                                <w:rFonts w:cstheme="minorHAnsi"/>
                              </w:rPr>
                            </w:pPr>
                            <w:r w:rsidRPr="00F35FAD">
                              <w:rPr>
                                <w:rFonts w:cstheme="minorHAnsi"/>
                              </w:rPr>
                              <w:t xml:space="preserve">⓫ </w:t>
                            </w:r>
                            <w:r w:rsidR="00D8476D" w:rsidRPr="00F35FAD">
                              <w:rPr>
                                <w:rFonts w:cstheme="minorHAnsi"/>
                              </w:rPr>
                              <w:t xml:space="preserve">If raised airway pressure and/or desaturation persists, consider </w:t>
                            </w:r>
                            <w:r w:rsidR="00D8476D" w:rsidRPr="00F35FAD">
                              <w:rPr>
                                <w:rFonts w:cstheme="minorHAnsi"/>
                                <w:b/>
                              </w:rPr>
                              <w:t>→ 2-2 Hypoxia/ desaturation/cyanosis.</w:t>
                            </w:r>
                          </w:p>
                          <w:p w14:paraId="40C88BCF" w14:textId="591FB003" w:rsidR="00B43CDE" w:rsidRPr="00F35FAD" w:rsidRDefault="00C541FB" w:rsidP="00F35FAD">
                            <w:pPr>
                              <w:spacing w:after="60" w:line="240" w:lineRule="auto"/>
                              <w:ind w:left="426" w:hanging="426"/>
                              <w:rPr>
                                <w:rFonts w:cstheme="minorHAnsi"/>
                                <w:b/>
                              </w:rPr>
                            </w:pPr>
                            <w:r w:rsidRPr="00F35FAD">
                              <w:rPr>
                                <w:rFonts w:cstheme="minorHAnsi"/>
                              </w:rPr>
                              <w:t xml:space="preserve">⓬ </w:t>
                            </w:r>
                            <w:r w:rsidR="00D8476D" w:rsidRPr="00F35FAD">
                              <w:rPr>
                                <w:rFonts w:cstheme="minorHAnsi"/>
                              </w:rPr>
                              <w:t>Obtain a chest X-ray as soon as clinically safe to do so.</w:t>
                            </w:r>
                          </w:p>
                          <w:p w14:paraId="1ED60FAD" w14:textId="1F50AAFF" w:rsidR="00B43CDE" w:rsidRPr="00F35FAD" w:rsidRDefault="00C541FB" w:rsidP="00F35FAD">
                            <w:pPr>
                              <w:spacing w:after="60" w:line="240" w:lineRule="auto"/>
                              <w:rPr>
                                <w:rFonts w:cstheme="minorHAnsi"/>
                              </w:rPr>
                            </w:pPr>
                            <w:r w:rsidRPr="00F35FAD">
                              <w:rPr>
                                <w:rFonts w:cstheme="minorHAnsi"/>
                              </w:rPr>
                              <w:t xml:space="preserve">⓭ </w:t>
                            </w:r>
                            <w:r w:rsidR="00D8476D" w:rsidRPr="00F35FAD">
                              <w:rPr>
                                <w:rFonts w:cstheme="minorHAnsi"/>
                              </w:rPr>
                              <w:t>Plan appropriate placement for post-procedure care.</w:t>
                            </w:r>
                          </w:p>
                          <w:p w14:paraId="15242C47" w14:textId="77777777" w:rsidR="00B43CDE" w:rsidRPr="00F35FAD" w:rsidRDefault="00B43CDE" w:rsidP="00F35FAD">
                            <w:pPr>
                              <w:spacing w:after="60" w:line="240" w:lineRule="auto"/>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C1606E9" id="_x0000_t202" coordsize="21600,21600" o:spt="202" path="m,l,21600r21600,l21600,xe">
                <v:stroke joinstyle="miter"/>
                <v:path gradientshapeok="t" o:connecttype="rect"/>
              </v:shapetype>
              <v:shape id="Text Box 2" o:spid="_x0000_s1026" type="#_x0000_t202" style="position:absolute;margin-left:-11.5pt;margin-top:9.95pt;width:419.45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" stroked="f">
                <v:textbox>
                  <w:txbxContent>
                    <w:p w14:paraId="36FEF53C" w14:textId="77777777" w:rsidR="00B43CDE" w:rsidRPr="00136000" w:rsidRDefault="00B43CDE" w:rsidP="007B1D53">
                      <w:pPr>
                        <w:rPr>
                          <w:rFonts w:cstheme="minorHAnsi"/>
                          <w:color w:val="FFFFFF" w:themeColor="background1"/>
                          <w:sz w:val="36"/>
                        </w:rPr>
                      </w:pPr>
                      <w:r>
                        <w:rPr>
                          <w:rFonts w:cstheme="minorHAnsi"/>
                          <w:color w:val="FFFFFF" w:themeColor="background1"/>
                          <w:sz w:val="36"/>
                          <w:highlight w:val="black"/>
                        </w:rPr>
                        <w:t xml:space="preserve"> STA</w:t>
                      </w:r>
                      <w:r w:rsidRPr="00136000">
                        <w:rPr>
                          <w:rFonts w:cstheme="minorHAnsi"/>
                          <w:color w:val="FFFFFF" w:themeColor="background1"/>
                          <w:sz w:val="36"/>
                          <w:highlight w:val="black"/>
                        </w:rPr>
                        <w:t>RT</w:t>
                      </w:r>
                      <w:r w:rsidRPr="00136000">
                        <w:rPr>
                          <w:rFonts w:cstheme="minorHAnsi"/>
                          <w:sz w:val="36"/>
                          <w:highlight w:val="black"/>
                        </w:rPr>
                        <w:t>.</w:t>
                      </w:r>
                    </w:p>
                    <w:p w14:paraId="6E12C6A7" w14:textId="77777777" w:rsidR="00B43CDE" w:rsidRPr="00F35FAD" w:rsidRDefault="00B43CDE" w:rsidP="00F35FAD">
                      <w:pPr>
                        <w:spacing w:after="60" w:line="240" w:lineRule="auto"/>
                      </w:pPr>
                      <w:r w:rsidRPr="00F35FAD">
                        <w:rPr>
                          <w:rFonts w:cstheme="minorHAnsi"/>
                        </w:rPr>
                        <w:t xml:space="preserve">❶ </w:t>
                      </w:r>
                      <w:r w:rsidRPr="00F35FAD">
                        <w:t>Call for help and i</w:t>
                      </w:r>
                      <w:r w:rsidRPr="00F35FAD">
                        <w:rPr>
                          <w:rFonts w:cstheme="minorHAnsi"/>
                        </w:rPr>
                        <w:t>nform</w:t>
                      </w:r>
                      <w:r w:rsidRPr="00F35FAD">
                        <w:t xml:space="preserve"> theatre team of problem</w:t>
                      </w:r>
                      <w:r w:rsidR="00C541FB" w:rsidRPr="00F35FAD">
                        <w:t>.</w:t>
                      </w:r>
                    </w:p>
                    <w:p w14:paraId="615BD5EC" w14:textId="77777777" w:rsidR="00B43CDE" w:rsidRPr="00F35FAD" w:rsidRDefault="00C541FB" w:rsidP="00F35FAD">
                      <w:pPr>
                        <w:spacing w:after="60" w:line="240" w:lineRule="auto"/>
                      </w:pPr>
                      <w:r w:rsidRPr="00F35FAD">
                        <w:rPr>
                          <w:rFonts w:cstheme="minorHAnsi"/>
                        </w:rPr>
                        <w:t xml:space="preserve">❷ </w:t>
                      </w:r>
                      <w:r w:rsidR="00F82ACE" w:rsidRPr="00F35FAD">
                        <w:t>Give 100% oxygen</w:t>
                      </w:r>
                      <w:r w:rsidRPr="00F35FAD">
                        <w:t>.</w:t>
                      </w:r>
                    </w:p>
                    <w:p w14:paraId="1B2AB63F" w14:textId="77777777" w:rsidR="00B43CDE" w:rsidRPr="00F35FAD" w:rsidRDefault="00C541FB" w:rsidP="00F35FAD">
                      <w:pPr>
                        <w:spacing w:after="60" w:line="240" w:lineRule="auto"/>
                      </w:pPr>
                      <w:r w:rsidRPr="00F35FAD">
                        <w:rPr>
                          <w:rFonts w:cstheme="minorHAnsi"/>
                        </w:rPr>
                        <w:t xml:space="preserve">❸ </w:t>
                      </w:r>
                      <w:r w:rsidR="00F82ACE" w:rsidRPr="00F35FAD">
                        <w:rPr>
                          <w:rFonts w:cstheme="minorHAnsi"/>
                        </w:rPr>
                        <w:t>Stop surgery / other stimulation</w:t>
                      </w:r>
                      <w:r w:rsidRPr="00F35FAD">
                        <w:rPr>
                          <w:rFonts w:cstheme="minorHAnsi"/>
                        </w:rPr>
                        <w:t>.</w:t>
                      </w:r>
                    </w:p>
                    <w:p w14:paraId="509E5DDC" w14:textId="77777777" w:rsidR="00F82ACE" w:rsidRPr="00F35FAD" w:rsidRDefault="00C541FB" w:rsidP="004905FF">
                      <w:pPr>
                        <w:spacing w:after="0" w:line="240" w:lineRule="auto"/>
                        <w:rPr>
                          <w:rFonts w:cstheme="minorHAnsi"/>
                        </w:rPr>
                      </w:pPr>
                      <w:r w:rsidRPr="00F35FAD">
                        <w:rPr>
                          <w:rFonts w:cstheme="minorHAnsi"/>
                        </w:rPr>
                        <w:t xml:space="preserve">❹ </w:t>
                      </w:r>
                      <w:r w:rsidR="00F82ACE" w:rsidRPr="00F35FAD">
                        <w:rPr>
                          <w:rFonts w:cstheme="minorHAnsi"/>
                        </w:rPr>
                        <w:t>Fully expose the chest and perform a rapid systematic examination:</w:t>
                      </w:r>
                    </w:p>
                    <w:p w14:paraId="6683ABFE" w14:textId="77777777" w:rsidR="00F82ACE" w:rsidRPr="00F35FAD" w:rsidRDefault="00F82ACE" w:rsidP="004905FF">
                      <w:pPr>
                        <w:pStyle w:val="ListParagraph"/>
                        <w:numPr>
                          <w:ilvl w:val="0"/>
                          <w:numId w:val="11"/>
                        </w:numPr>
                        <w:spacing w:after="0" w:line="240" w:lineRule="auto"/>
                      </w:pPr>
                      <w:r w:rsidRPr="00F35FAD">
                        <w:rPr>
                          <w:rFonts w:cstheme="minorHAnsi"/>
                        </w:rPr>
                        <w:t>Inspect, percuss, palpate, auscultate</w:t>
                      </w:r>
                      <w:r w:rsidR="00C541FB" w:rsidRPr="00F35FAD">
                        <w:rPr>
                          <w:rFonts w:cstheme="minorHAnsi"/>
                        </w:rPr>
                        <w:t>.</w:t>
                      </w:r>
                    </w:p>
                    <w:p w14:paraId="646A1EC4" w14:textId="77777777" w:rsidR="00B43CDE" w:rsidRPr="00F35FAD" w:rsidRDefault="00F82ACE" w:rsidP="00F35FAD">
                      <w:pPr>
                        <w:pStyle w:val="ListParagraph"/>
                        <w:numPr>
                          <w:ilvl w:val="0"/>
                          <w:numId w:val="11"/>
                        </w:numPr>
                        <w:spacing w:after="60" w:line="240" w:lineRule="auto"/>
                      </w:pPr>
                      <w:r w:rsidRPr="00F35FAD">
                        <w:rPr>
                          <w:rFonts w:cstheme="minorHAnsi"/>
                        </w:rPr>
                        <w:t>Absence of wheeze may indicate severe bronchospasm with no air movement</w:t>
                      </w:r>
                      <w:r w:rsidR="00C541FB" w:rsidRPr="00F35FAD">
                        <w:rPr>
                          <w:rFonts w:cstheme="minorHAnsi"/>
                        </w:rPr>
                        <w:t>.</w:t>
                      </w:r>
                    </w:p>
                    <w:p w14:paraId="562B29D5" w14:textId="77777777" w:rsidR="00F82ACE" w:rsidRPr="00F35FAD" w:rsidRDefault="00C541FB" w:rsidP="004905FF">
                      <w:pPr>
                        <w:spacing w:after="0" w:line="240" w:lineRule="auto"/>
                        <w:rPr>
                          <w:rFonts w:cstheme="minorHAnsi"/>
                        </w:rPr>
                      </w:pPr>
                      <w:r w:rsidRPr="00F35FAD">
                        <w:rPr>
                          <w:rFonts w:cstheme="minorHAnsi"/>
                        </w:rPr>
                        <w:t xml:space="preserve">❺ </w:t>
                      </w:r>
                      <w:r w:rsidR="00F82ACE" w:rsidRPr="00F35FAD">
                        <w:rPr>
                          <w:rFonts w:cstheme="minorHAnsi"/>
                        </w:rPr>
                        <w:t>Deepen anaesthesia:</w:t>
                      </w:r>
                    </w:p>
                    <w:p w14:paraId="3B6B9BC4" w14:textId="4F6AF01C" w:rsidR="00F82ACE" w:rsidRPr="00F35FAD" w:rsidRDefault="00F82ACE" w:rsidP="004905FF">
                      <w:pPr>
                        <w:pStyle w:val="ListParagraph"/>
                        <w:numPr>
                          <w:ilvl w:val="0"/>
                          <w:numId w:val="9"/>
                        </w:numPr>
                        <w:spacing w:after="0" w:line="240" w:lineRule="auto"/>
                      </w:pPr>
                      <w:r w:rsidRPr="00F35FAD">
                        <w:t>Inhalational anaesth</w:t>
                      </w:r>
                      <w:r w:rsidR="00C541FB" w:rsidRPr="00F35FAD">
                        <w:t>etic agents are bronchodilators</w:t>
                      </w:r>
                      <w:r w:rsidR="004139C8">
                        <w:t xml:space="preserve"> AND</w:t>
                      </w:r>
                      <w:r w:rsidR="004139C8" w:rsidRPr="004139C8">
                        <w:t xml:space="preserve"> </w:t>
                      </w:r>
                      <w:r w:rsidR="004139C8">
                        <w:t>b</w:t>
                      </w:r>
                      <w:r w:rsidR="004139C8" w:rsidRPr="00F35FAD">
                        <w:t>ronchospasm may be a consequence of light anaesthesia.</w:t>
                      </w:r>
                    </w:p>
                    <w:p w14:paraId="2A438C04" w14:textId="77777777" w:rsidR="00B43CDE" w:rsidRPr="00F35FAD" w:rsidRDefault="009E066F" w:rsidP="00F35FAD">
                      <w:pPr>
                        <w:pStyle w:val="ListParagraph"/>
                        <w:numPr>
                          <w:ilvl w:val="0"/>
                          <w:numId w:val="9"/>
                        </w:numPr>
                        <w:spacing w:after="60" w:line="240" w:lineRule="auto"/>
                      </w:pPr>
                      <w:r w:rsidRPr="00F35FAD">
                        <w:t>Avoid</w:t>
                      </w:r>
                      <w:r w:rsidR="00F82ACE" w:rsidRPr="00F35FAD">
                        <w:t xml:space="preserve"> isoflurane or desflurane </w:t>
                      </w:r>
                      <w:r w:rsidRPr="00F35FAD">
                        <w:t xml:space="preserve">if possible – airway </w:t>
                      </w:r>
                      <w:r w:rsidR="00F82ACE" w:rsidRPr="00F35FAD">
                        <w:t>irritant if increased rapidly</w:t>
                      </w:r>
                      <w:r w:rsidR="00C541FB" w:rsidRPr="00F35FAD">
                        <w:t>.</w:t>
                      </w:r>
                    </w:p>
                    <w:p w14:paraId="7C5F38CF" w14:textId="4EF0B798" w:rsidR="00F82ACE" w:rsidRPr="009420D5" w:rsidRDefault="00C541FB" w:rsidP="004905FF">
                      <w:pPr>
                        <w:spacing w:after="0" w:line="240" w:lineRule="auto"/>
                      </w:pPr>
                      <w:r w:rsidRPr="00F35FAD">
                        <w:rPr>
                          <w:rFonts w:cstheme="minorHAnsi"/>
                        </w:rPr>
                        <w:t xml:space="preserve">❻ </w:t>
                      </w:r>
                      <w:r w:rsidR="00F82ACE" w:rsidRPr="009420D5">
                        <w:t>Exclude</w:t>
                      </w:r>
                      <w:r w:rsidR="00E65EAD" w:rsidRPr="009420D5">
                        <w:t xml:space="preserve"> conditions that may </w:t>
                      </w:r>
                      <w:r w:rsidR="00D8476D" w:rsidRPr="009420D5">
                        <w:t>be misinterpreted as</w:t>
                      </w:r>
                      <w:r w:rsidR="00E65EAD" w:rsidRPr="009420D5">
                        <w:t xml:space="preserve"> bronchospasm:</w:t>
                      </w:r>
                    </w:p>
                    <w:p w14:paraId="200DA872" w14:textId="67F77673" w:rsidR="00E65EAD" w:rsidRPr="009420D5" w:rsidRDefault="00D8476D" w:rsidP="004905FF">
                      <w:pPr>
                        <w:pStyle w:val="ListParagraph"/>
                        <w:numPr>
                          <w:ilvl w:val="0"/>
                          <w:numId w:val="10"/>
                        </w:numPr>
                        <w:spacing w:after="0" w:line="240" w:lineRule="auto"/>
                      </w:pPr>
                      <w:r w:rsidRPr="009420D5">
                        <w:t>Mispositioned</w:t>
                      </w:r>
                      <w:r w:rsidR="00E65EAD" w:rsidRPr="009420D5">
                        <w:t xml:space="preserve"> or o</w:t>
                      </w:r>
                      <w:r w:rsidR="004139C8" w:rsidRPr="009420D5">
                        <w:t>ccluded</w:t>
                      </w:r>
                      <w:r w:rsidR="00E65EAD" w:rsidRPr="009420D5">
                        <w:t xml:space="preserve"> </w:t>
                      </w:r>
                      <w:r w:rsidR="00A443B9">
                        <w:t>airway device</w:t>
                      </w:r>
                    </w:p>
                    <w:p w14:paraId="329514FD" w14:textId="3FB9BCAF" w:rsidR="00E65EAD" w:rsidRPr="009420D5" w:rsidRDefault="00D8476D" w:rsidP="004905FF">
                      <w:pPr>
                        <w:pStyle w:val="ListParagraph"/>
                        <w:numPr>
                          <w:ilvl w:val="0"/>
                          <w:numId w:val="10"/>
                        </w:numPr>
                        <w:spacing w:after="0" w:line="240" w:lineRule="auto"/>
                      </w:pPr>
                      <w:r w:rsidRPr="009420D5">
                        <w:t>E</w:t>
                      </w:r>
                      <w:r w:rsidR="00F82ACE" w:rsidRPr="009420D5">
                        <w:t>ndobronchial or oesophageal intubation</w:t>
                      </w:r>
                    </w:p>
                    <w:p w14:paraId="3EFFDDAB" w14:textId="3FC6CB67" w:rsidR="00D8476D" w:rsidRPr="009420D5" w:rsidRDefault="00D8476D" w:rsidP="00F35FAD">
                      <w:pPr>
                        <w:pStyle w:val="ListParagraph"/>
                        <w:numPr>
                          <w:ilvl w:val="0"/>
                          <w:numId w:val="10"/>
                        </w:numPr>
                        <w:spacing w:after="60" w:line="240" w:lineRule="auto"/>
                      </w:pPr>
                      <w:r w:rsidRPr="009420D5">
                        <w:t>Occlusion of breathing system – check all hoses</w:t>
                      </w:r>
                    </w:p>
                    <w:p w14:paraId="6C1368B7" w14:textId="1D4E8356" w:rsidR="00B43CDE" w:rsidRPr="009420D5" w:rsidRDefault="00E65EAD" w:rsidP="00F35FAD">
                      <w:pPr>
                        <w:pStyle w:val="ListParagraph"/>
                        <w:numPr>
                          <w:ilvl w:val="0"/>
                          <w:numId w:val="10"/>
                        </w:numPr>
                        <w:spacing w:after="60" w:line="240" w:lineRule="auto"/>
                      </w:pPr>
                      <w:r w:rsidRPr="009420D5">
                        <w:rPr>
                          <w:rFonts w:cstheme="minorHAnsi"/>
                        </w:rPr>
                        <w:t xml:space="preserve">Consider </w:t>
                      </w:r>
                      <w:r w:rsidR="00D8476D" w:rsidRPr="009420D5">
                        <w:rPr>
                          <w:rFonts w:cstheme="minorHAnsi"/>
                        </w:rPr>
                        <w:t>other conditions</w:t>
                      </w:r>
                      <w:r w:rsidRPr="009420D5">
                        <w:rPr>
                          <w:rFonts w:cstheme="minorHAnsi"/>
                        </w:rPr>
                        <w:t xml:space="preserve"> mimicking bronchospasm (Box </w:t>
                      </w:r>
                      <w:r w:rsidR="00D8476D" w:rsidRPr="009420D5">
                        <w:rPr>
                          <w:rFonts w:cstheme="minorHAnsi"/>
                        </w:rPr>
                        <w:t>A</w:t>
                      </w:r>
                      <w:r w:rsidRPr="009420D5">
                        <w:rPr>
                          <w:rFonts w:cstheme="minorHAnsi"/>
                        </w:rPr>
                        <w:t>).</w:t>
                      </w:r>
                    </w:p>
                    <w:p w14:paraId="3FA516B6" w14:textId="404711BD" w:rsidR="00B43CDE" w:rsidRPr="00F35FAD" w:rsidRDefault="00C541FB" w:rsidP="00F35FAD">
                      <w:pPr>
                        <w:spacing w:after="60" w:line="240" w:lineRule="auto"/>
                      </w:pPr>
                      <w:r w:rsidRPr="00F35FAD">
                        <w:rPr>
                          <w:rFonts w:cstheme="minorHAnsi"/>
                        </w:rPr>
                        <w:t xml:space="preserve">❼ </w:t>
                      </w:r>
                      <w:r w:rsidR="0091713C">
                        <w:t>Consider</w:t>
                      </w:r>
                      <w:r w:rsidR="00F82ACE" w:rsidRPr="00F35FAD">
                        <w:t xml:space="preserve"> anaphylaxis</w:t>
                      </w:r>
                      <w:r w:rsidR="0091713C">
                        <w:t>; if</w:t>
                      </w:r>
                      <w:r w:rsidR="00F82ACE" w:rsidRPr="00F35FAD">
                        <w:t xml:space="preserve"> suspected </w:t>
                      </w:r>
                      <w:r w:rsidR="006E50BC" w:rsidRPr="00F35FAD">
                        <w:rPr>
                          <w:rFonts w:ascii="Calibri" w:hAnsi="Calibri" w:cs="Calibri"/>
                          <w:b/>
                        </w:rPr>
                        <w:t>→</w:t>
                      </w:r>
                      <w:r w:rsidR="00F82ACE" w:rsidRPr="00F35FAD">
                        <w:rPr>
                          <w:b/>
                        </w:rPr>
                        <w:t xml:space="preserve"> </w:t>
                      </w:r>
                      <w:r w:rsidR="00D1618A" w:rsidRPr="00F35FAD">
                        <w:rPr>
                          <w:b/>
                        </w:rPr>
                        <w:t>3-1</w:t>
                      </w:r>
                    </w:p>
                    <w:p w14:paraId="3B65230D" w14:textId="18A2DC8D" w:rsidR="00B43CDE" w:rsidRPr="00F35FAD" w:rsidRDefault="00C541FB" w:rsidP="00F35FAD">
                      <w:pPr>
                        <w:spacing w:after="60" w:line="240" w:lineRule="auto"/>
                      </w:pPr>
                      <w:r w:rsidRPr="00F35FAD">
                        <w:rPr>
                          <w:rFonts w:cstheme="minorHAnsi"/>
                        </w:rPr>
                        <w:t xml:space="preserve">❽ </w:t>
                      </w:r>
                      <w:r w:rsidR="009420D5" w:rsidRPr="00F35FAD">
                        <w:rPr>
                          <w:rFonts w:cstheme="minorHAnsi"/>
                        </w:rPr>
                        <w:t xml:space="preserve">Treat bronchospasm (Box </w:t>
                      </w:r>
                      <w:r w:rsidR="009420D5">
                        <w:rPr>
                          <w:rFonts w:cstheme="minorHAnsi"/>
                        </w:rPr>
                        <w:t>B</w:t>
                      </w:r>
                      <w:r w:rsidR="009420D5" w:rsidRPr="00F35FAD">
                        <w:rPr>
                          <w:rFonts w:cstheme="minorHAnsi"/>
                        </w:rPr>
                        <w:t xml:space="preserve">). First line is salbutamol by metered dose inhaler or by </w:t>
                      </w:r>
                      <w:r w:rsidR="009420D5">
                        <w:rPr>
                          <w:rFonts w:cstheme="minorHAnsi"/>
                        </w:rPr>
                        <w:t xml:space="preserve">     </w:t>
                      </w:r>
                      <w:r w:rsidR="009420D5" w:rsidRPr="00F35FAD">
                        <w:rPr>
                          <w:rFonts w:cstheme="minorHAnsi"/>
                        </w:rPr>
                        <w:t>nebuliser</w:t>
                      </w:r>
                      <w:r w:rsidR="00A443B9">
                        <w:rPr>
                          <w:rFonts w:cstheme="minorHAnsi"/>
                        </w:rPr>
                        <w:t xml:space="preserve"> (remove HME </w:t>
                      </w:r>
                      <w:r w:rsidR="00530EDF">
                        <w:rPr>
                          <w:rFonts w:cstheme="minorHAnsi"/>
                        </w:rPr>
                        <w:t xml:space="preserve">filter </w:t>
                      </w:r>
                      <w:r w:rsidR="00A443B9">
                        <w:rPr>
                          <w:rFonts w:cstheme="minorHAnsi"/>
                        </w:rPr>
                        <w:t>or nebulise downstream)</w:t>
                      </w:r>
                      <w:r w:rsidR="009420D5" w:rsidRPr="00F35FAD">
                        <w:rPr>
                          <w:rFonts w:cstheme="minorHAnsi"/>
                        </w:rPr>
                        <w:t xml:space="preserve">; </w:t>
                      </w:r>
                      <w:proofErr w:type="spellStart"/>
                      <w:r w:rsidR="009420D5" w:rsidRPr="00F35FAD">
                        <w:rPr>
                          <w:rFonts w:cstheme="minorHAnsi"/>
                        </w:rPr>
                        <w:t>i.v.</w:t>
                      </w:r>
                      <w:proofErr w:type="spellEnd"/>
                      <w:r w:rsidR="009420D5" w:rsidRPr="00F35FAD">
                        <w:rPr>
                          <w:rFonts w:cstheme="minorHAnsi"/>
                        </w:rPr>
                        <w:t xml:space="preserve"> route is second line. Other drugs at clinician discretion.</w:t>
                      </w:r>
                    </w:p>
                    <w:p w14:paraId="31FE88E2" w14:textId="5C4FAA8C" w:rsidR="00B43CDE" w:rsidRPr="00F35FAD" w:rsidRDefault="00C541FB" w:rsidP="00F35FAD">
                      <w:pPr>
                        <w:spacing w:after="60" w:line="240" w:lineRule="auto"/>
                        <w:ind w:left="426" w:hanging="426"/>
                        <w:rPr>
                          <w:rFonts w:cstheme="minorHAnsi"/>
                          <w:b/>
                        </w:rPr>
                      </w:pPr>
                      <w:r w:rsidRPr="00F35FAD">
                        <w:rPr>
                          <w:rFonts w:cstheme="minorHAnsi"/>
                          <w:b/>
                        </w:rPr>
                        <w:t xml:space="preserve">❾ </w:t>
                      </w:r>
                      <w:r w:rsidR="009420D5" w:rsidRPr="00F35FAD">
                        <w:rPr>
                          <w:rFonts w:cstheme="minorHAnsi"/>
                        </w:rPr>
                        <w:t>If airway soiling/aspiration suspected airway</w:t>
                      </w:r>
                      <w:r w:rsidR="00477198">
                        <w:rPr>
                          <w:rFonts w:cstheme="minorHAnsi"/>
                        </w:rPr>
                        <w:t xml:space="preserve">, see </w:t>
                      </w:r>
                      <w:r w:rsidR="009420D5" w:rsidRPr="00F35FAD">
                        <w:rPr>
                          <w:rFonts w:cstheme="minorHAnsi"/>
                        </w:rPr>
                        <w:t xml:space="preserve">Box </w:t>
                      </w:r>
                      <w:r w:rsidR="009420D5">
                        <w:rPr>
                          <w:rFonts w:cstheme="minorHAnsi"/>
                        </w:rPr>
                        <w:t>C</w:t>
                      </w:r>
                      <w:r w:rsidR="009420D5" w:rsidRPr="00F35FAD">
                        <w:rPr>
                          <w:rFonts w:cstheme="minorHAnsi"/>
                        </w:rPr>
                        <w:t>.</w:t>
                      </w:r>
                    </w:p>
                    <w:p w14:paraId="0CD613CE" w14:textId="5719F806" w:rsidR="00B43CDE" w:rsidRPr="00F35FAD" w:rsidRDefault="00C541FB" w:rsidP="00F35FAD">
                      <w:pPr>
                        <w:spacing w:after="60" w:line="240" w:lineRule="auto"/>
                        <w:rPr>
                          <w:rFonts w:cstheme="minorHAnsi"/>
                        </w:rPr>
                      </w:pPr>
                      <w:r w:rsidRPr="00F35FAD">
                        <w:rPr>
                          <w:rFonts w:cstheme="minorHAnsi"/>
                        </w:rPr>
                        <w:t xml:space="preserve">❿ </w:t>
                      </w:r>
                      <w:r w:rsidR="00D8476D" w:rsidRPr="00F35FAD">
                        <w:rPr>
                          <w:rFonts w:cstheme="minorHAnsi"/>
                        </w:rPr>
                        <w:t>Use appropriate ventilation strategy (Box D).</w:t>
                      </w:r>
                    </w:p>
                    <w:p w14:paraId="0BC2872D" w14:textId="4888AD59" w:rsidR="00B43CDE" w:rsidRPr="00F35FAD" w:rsidRDefault="00C541FB" w:rsidP="00F35FAD">
                      <w:pPr>
                        <w:spacing w:after="60" w:line="240" w:lineRule="auto"/>
                        <w:rPr>
                          <w:rFonts w:cstheme="minorHAnsi"/>
                        </w:rPr>
                      </w:pPr>
                      <w:r w:rsidRPr="00F35FAD">
                        <w:rPr>
                          <w:rFonts w:cstheme="minorHAnsi"/>
                        </w:rPr>
                        <w:t xml:space="preserve">⓫ </w:t>
                      </w:r>
                      <w:r w:rsidR="00D8476D" w:rsidRPr="00F35FAD">
                        <w:rPr>
                          <w:rFonts w:cstheme="minorHAnsi"/>
                        </w:rPr>
                        <w:t xml:space="preserve">If raised airway pressure and/or desaturation persists, consider </w:t>
                      </w:r>
                      <w:r w:rsidR="00D8476D" w:rsidRPr="00F35FAD">
                        <w:rPr>
                          <w:rFonts w:cstheme="minorHAnsi"/>
                          <w:b/>
                        </w:rPr>
                        <w:t>→ 2-2 Hypoxia/ desaturation/cyanosis.</w:t>
                      </w:r>
                    </w:p>
                    <w:p w14:paraId="40C88BCF" w14:textId="591FB003" w:rsidR="00B43CDE" w:rsidRPr="00F35FAD" w:rsidRDefault="00C541FB" w:rsidP="00F35FAD">
                      <w:pPr>
                        <w:spacing w:after="60" w:line="240" w:lineRule="auto"/>
                        <w:ind w:left="426" w:hanging="426"/>
                        <w:rPr>
                          <w:rFonts w:cstheme="minorHAnsi"/>
                          <w:b/>
                        </w:rPr>
                      </w:pPr>
                      <w:r w:rsidRPr="00F35FAD">
                        <w:rPr>
                          <w:rFonts w:cstheme="minorHAnsi"/>
                        </w:rPr>
                        <w:t xml:space="preserve">⓬ </w:t>
                      </w:r>
                      <w:r w:rsidR="00D8476D" w:rsidRPr="00F35FAD">
                        <w:rPr>
                          <w:rFonts w:cstheme="minorHAnsi"/>
                        </w:rPr>
                        <w:t>Obtain a chest X-ray as soon as clinically safe to do so.</w:t>
                      </w:r>
                    </w:p>
                    <w:p w14:paraId="1ED60FAD" w14:textId="1F50AAFF" w:rsidR="00B43CDE" w:rsidRPr="00F35FAD" w:rsidRDefault="00C541FB" w:rsidP="00F35FAD">
                      <w:pPr>
                        <w:spacing w:after="60" w:line="240" w:lineRule="auto"/>
                        <w:rPr>
                          <w:rFonts w:cstheme="minorHAnsi"/>
                        </w:rPr>
                      </w:pPr>
                      <w:r w:rsidRPr="00F35FAD">
                        <w:rPr>
                          <w:rFonts w:cstheme="minorHAnsi"/>
                        </w:rPr>
                        <w:t xml:space="preserve">⓭ </w:t>
                      </w:r>
                      <w:r w:rsidR="00D8476D" w:rsidRPr="00F35FAD">
                        <w:rPr>
                          <w:rFonts w:cstheme="minorHAnsi"/>
                        </w:rPr>
                        <w:t>Plan appropriate placement for post-procedure care.</w:t>
                      </w:r>
                    </w:p>
                    <w:p w14:paraId="15242C47" w14:textId="77777777" w:rsidR="00B43CDE" w:rsidRPr="00F35FAD" w:rsidRDefault="00B43CDE" w:rsidP="00F35FAD">
                      <w:pPr>
                        <w:spacing w:after="60" w:line="240" w:lineRule="auto"/>
                        <w:rPr>
                          <w:rFonts w:cstheme="minorHAnsi"/>
                        </w:rPr>
                      </w:pPr>
                    </w:p>
                  </w:txbxContent>
                </v:textbox>
              </v:shape>
            </w:pict>
          </mc:Fallback>
        </mc:AlternateContent>
      </w:r>
    </w:p>
    <w:p w14:paraId="7F598D77" w14:textId="77777777" w:rsidR="00042F42" w:rsidRDefault="00042F42"/>
    <w:tbl>
      <w:tblPr>
        <w:tblStyle w:val="MediumShading1-Accent1"/>
        <w:tblpPr w:leftFromText="180" w:rightFromText="180" w:vertAnchor="text" w:horzAnchor="margin" w:tblpXSpec="right" w:tblpY="203"/>
        <w:tblW w:w="0" w:type="auto"/>
        <w:tblLayout w:type="fixed"/>
        <w:tblLook w:val="04A0" w:firstRow="1" w:lastRow="0" w:firstColumn="1" w:lastColumn="0" w:noHBand="0" w:noVBand="1"/>
      </w:tblPr>
      <w:tblGrid>
        <w:gridCol w:w="1384"/>
        <w:gridCol w:w="5532"/>
      </w:tblGrid>
      <w:tr w:rsidR="009420D5" w:rsidRPr="004555AC" w14:paraId="73799B36" w14:textId="77777777" w:rsidTr="009420D5">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6916" w:type="dxa"/>
            <w:gridSpan w:val="2"/>
          </w:tcPr>
          <w:p w14:paraId="048167D9" w14:textId="77777777" w:rsidR="009420D5" w:rsidRPr="004555AC" w:rsidRDefault="009420D5" w:rsidP="009420D5">
            <w:pPr>
              <w:rPr>
                <w:sz w:val="20"/>
                <w:szCs w:val="20"/>
              </w:rPr>
            </w:pPr>
            <w:r>
              <w:rPr>
                <w:szCs w:val="20"/>
              </w:rPr>
              <w:t>Box B: DRUG DOSES</w:t>
            </w:r>
          </w:p>
        </w:tc>
      </w:tr>
      <w:tr w:rsidR="009420D5" w:rsidRPr="00A544D1" w14:paraId="2CD6BB4A" w14:textId="77777777" w:rsidTr="009420D5">
        <w:trPr>
          <w:cnfStyle w:val="000000100000" w:firstRow="0" w:lastRow="0" w:firstColumn="0" w:lastColumn="0" w:oddVBand="0" w:evenVBand="0" w:oddHBand="1" w:evenHBand="0" w:firstRowFirstColumn="0" w:firstRowLastColumn="0" w:lastRowFirstColumn="0" w:lastRowLastColumn="0"/>
          <w:trHeight w:val="4515"/>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1B446D57" w14:textId="77777777" w:rsidR="009420D5" w:rsidRDefault="009420D5" w:rsidP="009420D5">
            <w:pPr>
              <w:rPr>
                <w:b w:val="0"/>
                <w:bCs w:val="0"/>
                <w:sz w:val="18"/>
                <w:szCs w:val="18"/>
              </w:rPr>
            </w:pPr>
            <w:r>
              <w:rPr>
                <w:b w:val="0"/>
                <w:bCs w:val="0"/>
                <w:sz w:val="18"/>
                <w:szCs w:val="18"/>
              </w:rPr>
              <w:t>Salbutamol</w:t>
            </w:r>
          </w:p>
          <w:p w14:paraId="2B236CDC" w14:textId="77777777" w:rsidR="009420D5" w:rsidRDefault="009420D5" w:rsidP="009420D5">
            <w:pPr>
              <w:rPr>
                <w:b w:val="0"/>
                <w:bCs w:val="0"/>
                <w:sz w:val="18"/>
                <w:szCs w:val="18"/>
              </w:rPr>
            </w:pPr>
            <w:r>
              <w:rPr>
                <w:b w:val="0"/>
                <w:bCs w:val="0"/>
                <w:sz w:val="18"/>
                <w:szCs w:val="18"/>
              </w:rPr>
              <w:t xml:space="preserve"> </w:t>
            </w:r>
          </w:p>
          <w:p w14:paraId="09140DFD" w14:textId="77777777" w:rsidR="009420D5" w:rsidRDefault="009420D5" w:rsidP="009420D5">
            <w:pPr>
              <w:rPr>
                <w:b w:val="0"/>
                <w:bCs w:val="0"/>
                <w:sz w:val="18"/>
                <w:szCs w:val="18"/>
              </w:rPr>
            </w:pPr>
          </w:p>
          <w:p w14:paraId="6169631F" w14:textId="77777777" w:rsidR="009420D5" w:rsidRDefault="009420D5" w:rsidP="009420D5">
            <w:pPr>
              <w:rPr>
                <w:sz w:val="18"/>
                <w:szCs w:val="18"/>
              </w:rPr>
            </w:pPr>
          </w:p>
          <w:p w14:paraId="611EB427" w14:textId="77777777" w:rsidR="00530EDF" w:rsidRDefault="00530EDF" w:rsidP="009420D5">
            <w:pPr>
              <w:rPr>
                <w:b w:val="0"/>
                <w:bCs w:val="0"/>
                <w:sz w:val="18"/>
                <w:szCs w:val="18"/>
              </w:rPr>
            </w:pPr>
          </w:p>
          <w:p w14:paraId="230C8FA7" w14:textId="77777777" w:rsidR="009420D5" w:rsidRDefault="009420D5" w:rsidP="009420D5">
            <w:pPr>
              <w:rPr>
                <w:b w:val="0"/>
                <w:bCs w:val="0"/>
                <w:sz w:val="18"/>
                <w:szCs w:val="18"/>
              </w:rPr>
            </w:pPr>
          </w:p>
          <w:p w14:paraId="013E4480" w14:textId="77777777" w:rsidR="00530EDF" w:rsidRPr="00C8184F" w:rsidRDefault="00530EDF" w:rsidP="009420D5">
            <w:pPr>
              <w:rPr>
                <w:b w:val="0"/>
                <w:bCs w:val="0"/>
                <w:sz w:val="10"/>
                <w:szCs w:val="10"/>
              </w:rPr>
            </w:pPr>
          </w:p>
          <w:p w14:paraId="10FF8602" w14:textId="77777777" w:rsidR="009420D5" w:rsidRDefault="009420D5" w:rsidP="009420D5">
            <w:pPr>
              <w:rPr>
                <w:b w:val="0"/>
                <w:bCs w:val="0"/>
                <w:sz w:val="18"/>
                <w:szCs w:val="18"/>
              </w:rPr>
            </w:pPr>
            <w:r>
              <w:rPr>
                <w:b w:val="0"/>
                <w:bCs w:val="0"/>
                <w:sz w:val="18"/>
                <w:szCs w:val="18"/>
              </w:rPr>
              <w:t>Ipratropium</w:t>
            </w:r>
          </w:p>
          <w:p w14:paraId="35C4AF41" w14:textId="77777777" w:rsidR="009420D5" w:rsidRPr="00C8184F" w:rsidRDefault="009420D5" w:rsidP="009420D5">
            <w:pPr>
              <w:rPr>
                <w:b w:val="0"/>
                <w:bCs w:val="0"/>
                <w:sz w:val="10"/>
                <w:szCs w:val="10"/>
              </w:rPr>
            </w:pPr>
          </w:p>
          <w:p w14:paraId="558410C0" w14:textId="77777777" w:rsidR="009420D5" w:rsidRDefault="009420D5" w:rsidP="009420D5">
            <w:pPr>
              <w:rPr>
                <w:b w:val="0"/>
                <w:bCs w:val="0"/>
                <w:sz w:val="18"/>
                <w:szCs w:val="18"/>
              </w:rPr>
            </w:pPr>
            <w:r>
              <w:rPr>
                <w:b w:val="0"/>
                <w:bCs w:val="0"/>
                <w:sz w:val="18"/>
                <w:szCs w:val="18"/>
              </w:rPr>
              <w:t>Adrenaline</w:t>
            </w:r>
          </w:p>
          <w:p w14:paraId="4683822C" w14:textId="77777777" w:rsidR="009420D5" w:rsidRDefault="009420D5" w:rsidP="009420D5">
            <w:pPr>
              <w:rPr>
                <w:b w:val="0"/>
                <w:bCs w:val="0"/>
                <w:sz w:val="18"/>
                <w:szCs w:val="18"/>
              </w:rPr>
            </w:pPr>
          </w:p>
          <w:p w14:paraId="3E25A574" w14:textId="77777777" w:rsidR="009420D5" w:rsidRDefault="009420D5" w:rsidP="009420D5">
            <w:pPr>
              <w:rPr>
                <w:b w:val="0"/>
                <w:bCs w:val="0"/>
                <w:sz w:val="18"/>
                <w:szCs w:val="18"/>
              </w:rPr>
            </w:pPr>
          </w:p>
          <w:p w14:paraId="45493A51" w14:textId="77777777" w:rsidR="009420D5" w:rsidRDefault="009420D5" w:rsidP="009420D5">
            <w:pPr>
              <w:rPr>
                <w:b w:val="0"/>
                <w:bCs w:val="0"/>
                <w:sz w:val="18"/>
                <w:szCs w:val="18"/>
              </w:rPr>
            </w:pPr>
          </w:p>
          <w:p w14:paraId="254F13D6" w14:textId="77777777" w:rsidR="009420D5" w:rsidRPr="00C8184F" w:rsidRDefault="009420D5" w:rsidP="009420D5">
            <w:pPr>
              <w:rPr>
                <w:b w:val="0"/>
                <w:bCs w:val="0"/>
                <w:sz w:val="10"/>
                <w:szCs w:val="10"/>
              </w:rPr>
            </w:pPr>
          </w:p>
          <w:p w14:paraId="65B8CD7C" w14:textId="77777777" w:rsidR="009420D5" w:rsidRDefault="009420D5" w:rsidP="009420D5">
            <w:pPr>
              <w:rPr>
                <w:b w:val="0"/>
                <w:bCs w:val="0"/>
                <w:sz w:val="18"/>
                <w:szCs w:val="18"/>
              </w:rPr>
            </w:pPr>
            <w:r>
              <w:rPr>
                <w:b w:val="0"/>
                <w:bCs w:val="0"/>
                <w:sz w:val="18"/>
                <w:szCs w:val="18"/>
              </w:rPr>
              <w:t>Magnesium</w:t>
            </w:r>
          </w:p>
          <w:p w14:paraId="7DAFF897" w14:textId="77777777" w:rsidR="009420D5" w:rsidRPr="00C8184F" w:rsidRDefault="009420D5" w:rsidP="009420D5">
            <w:pPr>
              <w:rPr>
                <w:b w:val="0"/>
                <w:bCs w:val="0"/>
                <w:sz w:val="10"/>
                <w:szCs w:val="10"/>
              </w:rPr>
            </w:pPr>
          </w:p>
          <w:p w14:paraId="62E0C44C" w14:textId="77777777" w:rsidR="009420D5" w:rsidRDefault="009420D5" w:rsidP="009420D5">
            <w:pPr>
              <w:rPr>
                <w:b w:val="0"/>
                <w:bCs w:val="0"/>
                <w:sz w:val="18"/>
                <w:szCs w:val="18"/>
              </w:rPr>
            </w:pPr>
            <w:r>
              <w:rPr>
                <w:b w:val="0"/>
                <w:bCs w:val="0"/>
                <w:sz w:val="18"/>
                <w:szCs w:val="18"/>
              </w:rPr>
              <w:t>Ketamine</w:t>
            </w:r>
          </w:p>
          <w:p w14:paraId="63D772CC" w14:textId="77777777" w:rsidR="009420D5" w:rsidRDefault="009420D5" w:rsidP="009420D5">
            <w:pPr>
              <w:rPr>
                <w:b w:val="0"/>
                <w:bCs w:val="0"/>
                <w:sz w:val="18"/>
                <w:szCs w:val="18"/>
              </w:rPr>
            </w:pPr>
          </w:p>
          <w:p w14:paraId="5B5BD81F" w14:textId="77777777" w:rsidR="009420D5" w:rsidRPr="00C8184F" w:rsidRDefault="009420D5" w:rsidP="009420D5">
            <w:pPr>
              <w:rPr>
                <w:b w:val="0"/>
                <w:bCs w:val="0"/>
                <w:sz w:val="10"/>
                <w:szCs w:val="10"/>
              </w:rPr>
            </w:pPr>
          </w:p>
          <w:p w14:paraId="6D7EF932" w14:textId="77777777" w:rsidR="009420D5" w:rsidRDefault="009420D5" w:rsidP="009420D5">
            <w:pPr>
              <w:rPr>
                <w:b w:val="0"/>
                <w:bCs w:val="0"/>
                <w:sz w:val="18"/>
                <w:szCs w:val="18"/>
              </w:rPr>
            </w:pPr>
            <w:r>
              <w:rPr>
                <w:b w:val="0"/>
                <w:bCs w:val="0"/>
                <w:sz w:val="18"/>
                <w:szCs w:val="18"/>
              </w:rPr>
              <w:t>Aminophylline</w:t>
            </w:r>
          </w:p>
          <w:p w14:paraId="3B2AEE7F" w14:textId="77777777" w:rsidR="009420D5" w:rsidRDefault="009420D5" w:rsidP="009420D5">
            <w:pPr>
              <w:rPr>
                <w:b w:val="0"/>
                <w:bCs w:val="0"/>
                <w:sz w:val="18"/>
                <w:szCs w:val="18"/>
              </w:rPr>
            </w:pPr>
          </w:p>
          <w:p w14:paraId="790C5760" w14:textId="77777777" w:rsidR="009420D5" w:rsidRDefault="009420D5" w:rsidP="009420D5">
            <w:pPr>
              <w:rPr>
                <w:b w:val="0"/>
                <w:bCs w:val="0"/>
                <w:sz w:val="18"/>
                <w:szCs w:val="18"/>
              </w:rPr>
            </w:pPr>
          </w:p>
          <w:p w14:paraId="6980E486" w14:textId="77777777" w:rsidR="009420D5" w:rsidRPr="00F82ACE" w:rsidRDefault="009420D5" w:rsidP="009420D5">
            <w:pPr>
              <w:rPr>
                <w:b w:val="0"/>
                <w:bCs w:val="0"/>
                <w:sz w:val="10"/>
                <w:szCs w:val="10"/>
              </w:rPr>
            </w:pPr>
          </w:p>
          <w:p w14:paraId="10CBE331" w14:textId="77777777" w:rsidR="009420D5" w:rsidRPr="00FD15F3" w:rsidRDefault="009420D5" w:rsidP="009420D5">
            <w:pPr>
              <w:rPr>
                <w:sz w:val="18"/>
                <w:szCs w:val="18"/>
              </w:rPr>
            </w:pPr>
            <w:r>
              <w:rPr>
                <w:b w:val="0"/>
                <w:bCs w:val="0"/>
                <w:sz w:val="18"/>
                <w:szCs w:val="18"/>
              </w:rPr>
              <w:t>Hydrocortisone</w:t>
            </w:r>
          </w:p>
        </w:tc>
        <w:tc>
          <w:tcPr>
            <w:tcW w:w="5532" w:type="dxa"/>
            <w:shd w:val="clear" w:color="auto" w:fill="FFFFFF" w:themeFill="background1"/>
          </w:tcPr>
          <w:p w14:paraId="78D78199" w14:textId="77777777" w:rsidR="009420D5" w:rsidRDefault="009420D5" w:rsidP="009420D5">
            <w:pPr>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 xml:space="preserve">Nebuliser: Child &lt;5 </w:t>
            </w:r>
            <w:proofErr w:type="spellStart"/>
            <w:r>
              <w:rPr>
                <w:bCs/>
                <w:sz w:val="18"/>
                <w:szCs w:val="18"/>
              </w:rPr>
              <w:t>yr</w:t>
            </w:r>
            <w:proofErr w:type="spellEnd"/>
            <w:r>
              <w:rPr>
                <w:bCs/>
                <w:sz w:val="18"/>
                <w:szCs w:val="18"/>
              </w:rPr>
              <w:t xml:space="preserve">, 2.5 mg; Adult and &gt;5 </w:t>
            </w:r>
            <w:proofErr w:type="spellStart"/>
            <w:r>
              <w:rPr>
                <w:bCs/>
                <w:sz w:val="18"/>
                <w:szCs w:val="18"/>
              </w:rPr>
              <w:t>yr</w:t>
            </w:r>
            <w:proofErr w:type="spellEnd"/>
            <w:r>
              <w:rPr>
                <w:bCs/>
                <w:sz w:val="18"/>
                <w:szCs w:val="18"/>
              </w:rPr>
              <w:t xml:space="preserve"> 5 mg </w:t>
            </w:r>
          </w:p>
          <w:p w14:paraId="3B2D249F" w14:textId="490A155E" w:rsidR="00A443B9" w:rsidRPr="00530EDF" w:rsidRDefault="00A443B9" w:rsidP="009420D5">
            <w:pPr>
              <w:cnfStyle w:val="000000100000" w:firstRow="0" w:lastRow="0" w:firstColumn="0" w:lastColumn="0" w:oddVBand="0" w:evenVBand="0" w:oddHBand="1" w:evenHBand="0" w:firstRowFirstColumn="0" w:firstRowLastColumn="0" w:lastRowFirstColumn="0" w:lastRowLastColumn="0"/>
              <w:rPr>
                <w:b/>
                <w:sz w:val="18"/>
                <w:szCs w:val="18"/>
              </w:rPr>
            </w:pPr>
            <w:r w:rsidRPr="00530EDF">
              <w:rPr>
                <w:b/>
                <w:sz w:val="18"/>
                <w:szCs w:val="18"/>
              </w:rPr>
              <w:t>(Remove HME filter OR nebulise downstream)</w:t>
            </w:r>
          </w:p>
          <w:p w14:paraId="7E93D0A0" w14:textId="77777777" w:rsidR="009420D5" w:rsidRPr="007F7BB2" w:rsidRDefault="009420D5" w:rsidP="009420D5">
            <w:pPr>
              <w:cnfStyle w:val="000000100000" w:firstRow="0" w:lastRow="0" w:firstColumn="0" w:lastColumn="0" w:oddVBand="0" w:evenVBand="0" w:oddHBand="1" w:evenHBand="0" w:firstRowFirstColumn="0" w:firstRowLastColumn="0" w:lastRowFirstColumn="0" w:lastRowLastColumn="0"/>
              <w:rPr>
                <w:bCs/>
                <w:sz w:val="18"/>
                <w:szCs w:val="18"/>
              </w:rPr>
            </w:pPr>
            <w:proofErr w:type="spellStart"/>
            <w:r>
              <w:rPr>
                <w:bCs/>
                <w:sz w:val="18"/>
                <w:szCs w:val="18"/>
              </w:rPr>
              <w:t>i.v.</w:t>
            </w:r>
            <w:proofErr w:type="spellEnd"/>
            <w:r w:rsidRPr="00A06E05">
              <w:rPr>
                <w:bCs/>
                <w:sz w:val="18"/>
                <w:szCs w:val="18"/>
              </w:rPr>
              <w:t xml:space="preserve"> bolus</w:t>
            </w:r>
            <w:r>
              <w:rPr>
                <w:bCs/>
                <w:sz w:val="18"/>
                <w:szCs w:val="18"/>
              </w:rPr>
              <w:t xml:space="preserve">: </w:t>
            </w:r>
            <w:r w:rsidRPr="00A06E05">
              <w:rPr>
                <w:bCs/>
                <w:sz w:val="18"/>
                <w:szCs w:val="18"/>
              </w:rPr>
              <w:t>Adult 250</w:t>
            </w:r>
            <w:r>
              <w:rPr>
                <w:bCs/>
                <w:sz w:val="18"/>
                <w:szCs w:val="18"/>
              </w:rPr>
              <w:t xml:space="preserve"> </w:t>
            </w:r>
            <w:r>
              <w:rPr>
                <w:rFonts w:cstheme="minorHAnsi"/>
                <w:bCs/>
                <w:sz w:val="18"/>
                <w:szCs w:val="18"/>
              </w:rPr>
              <w:t>µ</w:t>
            </w:r>
            <w:r>
              <w:rPr>
                <w:bCs/>
                <w:sz w:val="18"/>
                <w:szCs w:val="18"/>
              </w:rPr>
              <w:t>g diluted, slowly; Child 1-23 months 5</w:t>
            </w:r>
            <w:r>
              <w:rPr>
                <w:rFonts w:cstheme="minorHAnsi"/>
                <w:bCs/>
                <w:sz w:val="18"/>
                <w:szCs w:val="18"/>
              </w:rPr>
              <w:t xml:space="preserve"> µ</w:t>
            </w:r>
            <w:r>
              <w:rPr>
                <w:bCs/>
                <w:sz w:val="18"/>
                <w:szCs w:val="18"/>
              </w:rPr>
              <w:t>g.kg</w:t>
            </w:r>
            <w:r w:rsidRPr="00F82ACE">
              <w:rPr>
                <w:bCs/>
                <w:sz w:val="18"/>
                <w:szCs w:val="18"/>
                <w:vertAlign w:val="superscript"/>
              </w:rPr>
              <w:t>-1</w:t>
            </w:r>
            <w:r>
              <w:rPr>
                <w:bCs/>
                <w:sz w:val="18"/>
                <w:szCs w:val="18"/>
                <w:vertAlign w:val="superscript"/>
              </w:rPr>
              <w:t xml:space="preserve"> </w:t>
            </w:r>
            <w:r>
              <w:rPr>
                <w:bCs/>
                <w:sz w:val="18"/>
                <w:szCs w:val="18"/>
              </w:rPr>
              <w:t xml:space="preserve">once over 5 mins; Child 2-17 years 15 </w:t>
            </w:r>
            <w:r>
              <w:rPr>
                <w:rFonts w:cstheme="minorHAnsi"/>
                <w:bCs/>
                <w:sz w:val="18"/>
                <w:szCs w:val="18"/>
              </w:rPr>
              <w:t>µ</w:t>
            </w:r>
            <w:r>
              <w:rPr>
                <w:bCs/>
                <w:sz w:val="18"/>
                <w:szCs w:val="18"/>
              </w:rPr>
              <w:t>g.kg</w:t>
            </w:r>
            <w:r w:rsidRPr="00F82ACE">
              <w:rPr>
                <w:bCs/>
                <w:sz w:val="18"/>
                <w:szCs w:val="18"/>
                <w:vertAlign w:val="superscript"/>
              </w:rPr>
              <w:t>-1</w:t>
            </w:r>
            <w:r>
              <w:rPr>
                <w:bCs/>
                <w:sz w:val="18"/>
                <w:szCs w:val="18"/>
              </w:rPr>
              <w:t xml:space="preserve"> once over 5 mins (max. 250</w:t>
            </w:r>
            <w:r>
              <w:rPr>
                <w:rFonts w:cstheme="minorHAnsi"/>
                <w:bCs/>
                <w:sz w:val="18"/>
                <w:szCs w:val="18"/>
              </w:rPr>
              <w:t xml:space="preserve"> µ</w:t>
            </w:r>
            <w:r>
              <w:rPr>
                <w:bCs/>
                <w:sz w:val="18"/>
                <w:szCs w:val="18"/>
              </w:rPr>
              <w:t>g)</w:t>
            </w:r>
          </w:p>
          <w:p w14:paraId="07B788AF" w14:textId="77777777" w:rsidR="009420D5" w:rsidRDefault="009420D5" w:rsidP="009420D5">
            <w:pPr>
              <w:cnfStyle w:val="000000100000" w:firstRow="0" w:lastRow="0" w:firstColumn="0" w:lastColumn="0" w:oddVBand="0" w:evenVBand="0" w:oddHBand="1" w:evenHBand="0" w:firstRowFirstColumn="0" w:firstRowLastColumn="0" w:lastRowFirstColumn="0" w:lastRowLastColumn="0"/>
              <w:rPr>
                <w:bCs/>
                <w:sz w:val="18"/>
                <w:szCs w:val="18"/>
                <w:vertAlign w:val="superscript"/>
              </w:rPr>
            </w:pPr>
            <w:r>
              <w:rPr>
                <w:bCs/>
                <w:sz w:val="18"/>
                <w:szCs w:val="18"/>
              </w:rPr>
              <w:t xml:space="preserve">Adult </w:t>
            </w:r>
            <w:proofErr w:type="spellStart"/>
            <w:r>
              <w:rPr>
                <w:bCs/>
                <w:sz w:val="18"/>
                <w:szCs w:val="18"/>
              </w:rPr>
              <w:t>i.v.</w:t>
            </w:r>
            <w:proofErr w:type="spellEnd"/>
            <w:r w:rsidRPr="00A06E05">
              <w:rPr>
                <w:bCs/>
                <w:sz w:val="18"/>
                <w:szCs w:val="18"/>
              </w:rPr>
              <w:t xml:space="preserve"> infusion</w:t>
            </w:r>
            <w:r>
              <w:rPr>
                <w:bCs/>
                <w:sz w:val="18"/>
                <w:szCs w:val="18"/>
              </w:rPr>
              <w:t>:</w:t>
            </w:r>
            <w:r w:rsidRPr="00A06E05">
              <w:rPr>
                <w:bCs/>
                <w:sz w:val="18"/>
                <w:szCs w:val="18"/>
              </w:rPr>
              <w:t xml:space="preserve"> 5-20</w:t>
            </w:r>
            <w:r>
              <w:rPr>
                <w:bCs/>
                <w:sz w:val="18"/>
                <w:szCs w:val="18"/>
              </w:rPr>
              <w:t xml:space="preserve"> </w:t>
            </w:r>
            <w:r>
              <w:rPr>
                <w:rFonts w:cstheme="minorHAnsi"/>
                <w:bCs/>
                <w:sz w:val="18"/>
                <w:szCs w:val="18"/>
              </w:rPr>
              <w:t>µ</w:t>
            </w:r>
            <w:r w:rsidRPr="00A06E05">
              <w:rPr>
                <w:bCs/>
                <w:sz w:val="18"/>
                <w:szCs w:val="18"/>
              </w:rPr>
              <w:t>g</w:t>
            </w:r>
            <w:r>
              <w:rPr>
                <w:bCs/>
                <w:sz w:val="18"/>
                <w:szCs w:val="18"/>
              </w:rPr>
              <w:t>.</w:t>
            </w:r>
            <w:r w:rsidRPr="00A06E05">
              <w:rPr>
                <w:bCs/>
                <w:sz w:val="18"/>
                <w:szCs w:val="18"/>
              </w:rPr>
              <w:t>min</w:t>
            </w:r>
            <w:r w:rsidRPr="00F82ACE">
              <w:rPr>
                <w:bCs/>
                <w:sz w:val="18"/>
                <w:szCs w:val="18"/>
                <w:vertAlign w:val="superscript"/>
              </w:rPr>
              <w:t>-1</w:t>
            </w:r>
            <w:r>
              <w:rPr>
                <w:bCs/>
                <w:sz w:val="18"/>
                <w:szCs w:val="18"/>
                <w:vertAlign w:val="superscript"/>
              </w:rPr>
              <w:t xml:space="preserve"> </w:t>
            </w:r>
          </w:p>
          <w:p w14:paraId="27034D1C" w14:textId="77777777" w:rsidR="009420D5" w:rsidRPr="00CC575C" w:rsidRDefault="009420D5" w:rsidP="009420D5">
            <w:pPr>
              <w:cnfStyle w:val="000000100000" w:firstRow="0" w:lastRow="0" w:firstColumn="0" w:lastColumn="0" w:oddVBand="0" w:evenVBand="0" w:oddHBand="1" w:evenHBand="0" w:firstRowFirstColumn="0" w:firstRowLastColumn="0" w:lastRowFirstColumn="0" w:lastRowLastColumn="0"/>
              <w:rPr>
                <w:b/>
                <w:bCs/>
                <w:sz w:val="18"/>
                <w:szCs w:val="18"/>
              </w:rPr>
            </w:pPr>
            <w:r>
              <w:rPr>
                <w:bCs/>
                <w:sz w:val="18"/>
                <w:szCs w:val="18"/>
              </w:rPr>
              <w:t xml:space="preserve">Child </w:t>
            </w:r>
            <w:proofErr w:type="spellStart"/>
            <w:r>
              <w:rPr>
                <w:bCs/>
                <w:sz w:val="18"/>
                <w:szCs w:val="18"/>
              </w:rPr>
              <w:t>i.v.</w:t>
            </w:r>
            <w:proofErr w:type="spellEnd"/>
            <w:r w:rsidRPr="00A06E05">
              <w:rPr>
                <w:bCs/>
                <w:sz w:val="18"/>
                <w:szCs w:val="18"/>
              </w:rPr>
              <w:t xml:space="preserve"> infusion</w:t>
            </w:r>
            <w:r>
              <w:rPr>
                <w:bCs/>
                <w:sz w:val="18"/>
                <w:szCs w:val="18"/>
              </w:rPr>
              <w:t>:</w:t>
            </w:r>
            <w:r w:rsidRPr="00A06E05">
              <w:rPr>
                <w:bCs/>
                <w:sz w:val="18"/>
                <w:szCs w:val="18"/>
              </w:rPr>
              <w:t xml:space="preserve"> </w:t>
            </w:r>
            <w:r>
              <w:rPr>
                <w:bCs/>
                <w:sz w:val="18"/>
                <w:szCs w:val="18"/>
              </w:rPr>
              <w:t xml:space="preserve">0.5-1 </w:t>
            </w:r>
            <w:r>
              <w:rPr>
                <w:rFonts w:cstheme="minorHAnsi"/>
                <w:bCs/>
                <w:sz w:val="18"/>
                <w:szCs w:val="18"/>
              </w:rPr>
              <w:t>µ</w:t>
            </w:r>
            <w:r>
              <w:rPr>
                <w:bCs/>
                <w:sz w:val="18"/>
                <w:szCs w:val="18"/>
              </w:rPr>
              <w:t>g.kg</w:t>
            </w:r>
            <w:r w:rsidRPr="00F82ACE">
              <w:rPr>
                <w:bCs/>
                <w:sz w:val="18"/>
                <w:szCs w:val="18"/>
                <w:vertAlign w:val="superscript"/>
              </w:rPr>
              <w:t>-1</w:t>
            </w:r>
            <w:r>
              <w:rPr>
                <w:bCs/>
                <w:sz w:val="18"/>
                <w:szCs w:val="18"/>
              </w:rPr>
              <w:t>.</w:t>
            </w:r>
            <w:r w:rsidRPr="00A06E05">
              <w:rPr>
                <w:bCs/>
                <w:sz w:val="18"/>
                <w:szCs w:val="18"/>
              </w:rPr>
              <w:t>min</w:t>
            </w:r>
            <w:r w:rsidRPr="00F82ACE">
              <w:rPr>
                <w:bCs/>
                <w:sz w:val="18"/>
                <w:szCs w:val="18"/>
                <w:vertAlign w:val="superscript"/>
              </w:rPr>
              <w:t>-1</w:t>
            </w:r>
            <w:r>
              <w:rPr>
                <w:bCs/>
                <w:sz w:val="18"/>
                <w:szCs w:val="18"/>
                <w:vertAlign w:val="superscript"/>
              </w:rPr>
              <w:t xml:space="preserve"> </w:t>
            </w:r>
            <w:r w:rsidRPr="00CC575C">
              <w:rPr>
                <w:bCs/>
                <w:sz w:val="18"/>
                <w:szCs w:val="18"/>
              </w:rPr>
              <w:t>(max.</w:t>
            </w:r>
            <w:r>
              <w:rPr>
                <w:b/>
                <w:bCs/>
                <w:sz w:val="18"/>
                <w:szCs w:val="18"/>
              </w:rPr>
              <w:t xml:space="preserve"> </w:t>
            </w:r>
            <w:r w:rsidRPr="00A06E05">
              <w:rPr>
                <w:bCs/>
                <w:sz w:val="18"/>
                <w:szCs w:val="18"/>
              </w:rPr>
              <w:t>20</w:t>
            </w:r>
            <w:r>
              <w:rPr>
                <w:bCs/>
                <w:sz w:val="18"/>
                <w:szCs w:val="18"/>
              </w:rPr>
              <w:t xml:space="preserve"> </w:t>
            </w:r>
            <w:r>
              <w:rPr>
                <w:rFonts w:cstheme="minorHAnsi"/>
                <w:bCs/>
                <w:sz w:val="18"/>
                <w:szCs w:val="18"/>
              </w:rPr>
              <w:t>µ</w:t>
            </w:r>
            <w:r w:rsidRPr="00A06E05">
              <w:rPr>
                <w:bCs/>
                <w:sz w:val="18"/>
                <w:szCs w:val="18"/>
              </w:rPr>
              <w:t>g</w:t>
            </w:r>
            <w:r>
              <w:rPr>
                <w:bCs/>
                <w:sz w:val="18"/>
                <w:szCs w:val="18"/>
              </w:rPr>
              <w:t>.</w:t>
            </w:r>
            <w:r w:rsidRPr="00A06E05">
              <w:rPr>
                <w:bCs/>
                <w:sz w:val="18"/>
                <w:szCs w:val="18"/>
              </w:rPr>
              <w:t>min</w:t>
            </w:r>
            <w:r w:rsidRPr="00F82ACE">
              <w:rPr>
                <w:bCs/>
                <w:sz w:val="18"/>
                <w:szCs w:val="18"/>
                <w:vertAlign w:val="superscript"/>
              </w:rPr>
              <w:t>-1</w:t>
            </w:r>
            <w:r>
              <w:rPr>
                <w:bCs/>
                <w:sz w:val="18"/>
                <w:szCs w:val="18"/>
              </w:rPr>
              <w:t>)</w:t>
            </w:r>
          </w:p>
          <w:p w14:paraId="44B1F31A" w14:textId="77777777" w:rsidR="009420D5" w:rsidRPr="00427D54" w:rsidRDefault="009420D5" w:rsidP="009420D5">
            <w:pPr>
              <w:cnfStyle w:val="000000100000" w:firstRow="0" w:lastRow="0" w:firstColumn="0" w:lastColumn="0" w:oddVBand="0" w:evenVBand="0" w:oddHBand="1" w:evenHBand="0" w:firstRowFirstColumn="0" w:firstRowLastColumn="0" w:lastRowFirstColumn="0" w:lastRowLastColumn="0"/>
              <w:rPr>
                <w:bCs/>
                <w:sz w:val="10"/>
                <w:szCs w:val="18"/>
              </w:rPr>
            </w:pPr>
          </w:p>
          <w:p w14:paraId="79C814AB" w14:textId="77777777" w:rsidR="009420D5" w:rsidRDefault="009420D5" w:rsidP="009420D5">
            <w:pPr>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 xml:space="preserve">Neb: 2-12 </w:t>
            </w:r>
            <w:proofErr w:type="spellStart"/>
            <w:r>
              <w:rPr>
                <w:bCs/>
                <w:sz w:val="18"/>
                <w:szCs w:val="18"/>
              </w:rPr>
              <w:t>yr</w:t>
            </w:r>
            <w:proofErr w:type="spellEnd"/>
            <w:r>
              <w:rPr>
                <w:bCs/>
                <w:sz w:val="18"/>
                <w:szCs w:val="18"/>
              </w:rPr>
              <w:t xml:space="preserve"> 0.25 mg; Adult 0.5 mg</w:t>
            </w:r>
          </w:p>
          <w:p w14:paraId="0BCDD75D" w14:textId="77777777" w:rsidR="009420D5" w:rsidRPr="00C8184F" w:rsidRDefault="009420D5" w:rsidP="009420D5">
            <w:pPr>
              <w:cnfStyle w:val="000000100000" w:firstRow="0" w:lastRow="0" w:firstColumn="0" w:lastColumn="0" w:oddVBand="0" w:evenVBand="0" w:oddHBand="1" w:evenHBand="0" w:firstRowFirstColumn="0" w:firstRowLastColumn="0" w:lastRowFirstColumn="0" w:lastRowLastColumn="0"/>
              <w:rPr>
                <w:bCs/>
                <w:sz w:val="10"/>
                <w:szCs w:val="10"/>
              </w:rPr>
            </w:pPr>
          </w:p>
          <w:p w14:paraId="72CBCC58" w14:textId="77777777" w:rsidR="009420D5" w:rsidRDefault="009420D5" w:rsidP="009420D5">
            <w:pPr>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 xml:space="preserve">Neb: Child 0.5 ml of 1:1000 </w:t>
            </w:r>
          </w:p>
          <w:p w14:paraId="0F6B49B4" w14:textId="77777777" w:rsidR="009420D5" w:rsidRDefault="009420D5" w:rsidP="009420D5">
            <w:pPr>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 xml:space="preserve">Neb: Adult 5 ml of 1:1000 </w:t>
            </w:r>
          </w:p>
          <w:p w14:paraId="21F72A13" w14:textId="77777777" w:rsidR="009420D5" w:rsidRDefault="009420D5" w:rsidP="009420D5">
            <w:pPr>
              <w:cnfStyle w:val="000000100000" w:firstRow="0" w:lastRow="0" w:firstColumn="0" w:lastColumn="0" w:oddVBand="0" w:evenVBand="0" w:oddHBand="1" w:evenHBand="0" w:firstRowFirstColumn="0" w:firstRowLastColumn="0" w:lastRowFirstColumn="0" w:lastRowLastColumn="0"/>
              <w:rPr>
                <w:bCs/>
                <w:sz w:val="18"/>
                <w:szCs w:val="18"/>
              </w:rPr>
            </w:pPr>
            <w:proofErr w:type="spellStart"/>
            <w:r>
              <w:rPr>
                <w:bCs/>
                <w:sz w:val="18"/>
                <w:szCs w:val="18"/>
              </w:rPr>
              <w:t>i.m.</w:t>
            </w:r>
            <w:proofErr w:type="spellEnd"/>
            <w:r>
              <w:rPr>
                <w:bCs/>
                <w:sz w:val="18"/>
                <w:szCs w:val="18"/>
              </w:rPr>
              <w:t xml:space="preserve">: &lt;6 </w:t>
            </w:r>
            <w:proofErr w:type="spellStart"/>
            <w:r>
              <w:rPr>
                <w:bCs/>
                <w:sz w:val="18"/>
                <w:szCs w:val="18"/>
              </w:rPr>
              <w:t>mo</w:t>
            </w:r>
            <w:proofErr w:type="spellEnd"/>
            <w:r>
              <w:rPr>
                <w:bCs/>
                <w:sz w:val="18"/>
                <w:szCs w:val="18"/>
              </w:rPr>
              <w:t xml:space="preserve"> 50 </w:t>
            </w:r>
            <w:r>
              <w:rPr>
                <w:rFonts w:cstheme="minorHAnsi"/>
                <w:bCs/>
                <w:sz w:val="18"/>
                <w:szCs w:val="18"/>
              </w:rPr>
              <w:t>µ</w:t>
            </w:r>
            <w:r>
              <w:rPr>
                <w:bCs/>
                <w:sz w:val="18"/>
                <w:szCs w:val="18"/>
              </w:rPr>
              <w:t xml:space="preserve">g; &lt;6 </w:t>
            </w:r>
            <w:proofErr w:type="spellStart"/>
            <w:r>
              <w:rPr>
                <w:bCs/>
                <w:sz w:val="18"/>
                <w:szCs w:val="18"/>
              </w:rPr>
              <w:t>yr</w:t>
            </w:r>
            <w:proofErr w:type="spellEnd"/>
            <w:r>
              <w:rPr>
                <w:bCs/>
                <w:sz w:val="18"/>
                <w:szCs w:val="18"/>
              </w:rPr>
              <w:t xml:space="preserve"> 120 </w:t>
            </w:r>
            <w:r>
              <w:rPr>
                <w:rFonts w:cstheme="minorHAnsi"/>
                <w:bCs/>
                <w:sz w:val="18"/>
                <w:szCs w:val="18"/>
              </w:rPr>
              <w:t>µ</w:t>
            </w:r>
            <w:r>
              <w:rPr>
                <w:bCs/>
                <w:sz w:val="18"/>
                <w:szCs w:val="18"/>
              </w:rPr>
              <w:t xml:space="preserve">g; &lt;12 </w:t>
            </w:r>
            <w:proofErr w:type="spellStart"/>
            <w:r>
              <w:rPr>
                <w:bCs/>
                <w:sz w:val="18"/>
                <w:szCs w:val="18"/>
              </w:rPr>
              <w:t>yr</w:t>
            </w:r>
            <w:proofErr w:type="spellEnd"/>
            <w:r>
              <w:rPr>
                <w:bCs/>
                <w:sz w:val="18"/>
                <w:szCs w:val="18"/>
              </w:rPr>
              <w:t xml:space="preserve"> 250 </w:t>
            </w:r>
            <w:r>
              <w:rPr>
                <w:rFonts w:cstheme="minorHAnsi"/>
                <w:bCs/>
                <w:sz w:val="18"/>
                <w:szCs w:val="18"/>
              </w:rPr>
              <w:t>µ</w:t>
            </w:r>
            <w:r>
              <w:rPr>
                <w:bCs/>
                <w:sz w:val="18"/>
                <w:szCs w:val="18"/>
              </w:rPr>
              <w:t xml:space="preserve">g; Adult 500 </w:t>
            </w:r>
            <w:r>
              <w:rPr>
                <w:rFonts w:cstheme="minorHAnsi"/>
                <w:bCs/>
                <w:sz w:val="18"/>
                <w:szCs w:val="18"/>
              </w:rPr>
              <w:t>µ</w:t>
            </w:r>
            <w:r>
              <w:rPr>
                <w:bCs/>
                <w:sz w:val="18"/>
                <w:szCs w:val="18"/>
              </w:rPr>
              <w:t>g</w:t>
            </w:r>
          </w:p>
          <w:p w14:paraId="2215F0C6" w14:textId="77777777" w:rsidR="009420D5" w:rsidRDefault="009420D5" w:rsidP="009420D5">
            <w:pPr>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 xml:space="preserve">Slow </w:t>
            </w:r>
            <w:proofErr w:type="spellStart"/>
            <w:r>
              <w:rPr>
                <w:bCs/>
                <w:sz w:val="18"/>
                <w:szCs w:val="18"/>
              </w:rPr>
              <w:t>i.v.</w:t>
            </w:r>
            <w:proofErr w:type="spellEnd"/>
            <w:r>
              <w:rPr>
                <w:bCs/>
                <w:sz w:val="18"/>
                <w:szCs w:val="18"/>
              </w:rPr>
              <w:t xml:space="preserve"> bolus: 0.1 - 1 </w:t>
            </w:r>
            <w:r>
              <w:rPr>
                <w:rFonts w:cstheme="minorHAnsi"/>
                <w:bCs/>
                <w:sz w:val="18"/>
                <w:szCs w:val="18"/>
              </w:rPr>
              <w:t>µ</w:t>
            </w:r>
            <w:r>
              <w:rPr>
                <w:bCs/>
                <w:sz w:val="18"/>
                <w:szCs w:val="18"/>
              </w:rPr>
              <w:t>g.kg</w:t>
            </w:r>
            <w:r w:rsidRPr="00F82ACE">
              <w:rPr>
                <w:bCs/>
                <w:sz w:val="18"/>
                <w:szCs w:val="18"/>
                <w:vertAlign w:val="superscript"/>
              </w:rPr>
              <w:t>-1</w:t>
            </w:r>
            <w:r>
              <w:rPr>
                <w:bCs/>
                <w:sz w:val="18"/>
                <w:szCs w:val="18"/>
              </w:rPr>
              <w:t xml:space="preserve"> (Adult 10-100 </w:t>
            </w:r>
            <w:r>
              <w:rPr>
                <w:rFonts w:cstheme="minorHAnsi"/>
                <w:bCs/>
                <w:sz w:val="18"/>
                <w:szCs w:val="18"/>
              </w:rPr>
              <w:t>µ</w:t>
            </w:r>
            <w:r>
              <w:rPr>
                <w:bCs/>
                <w:sz w:val="18"/>
                <w:szCs w:val="18"/>
              </w:rPr>
              <w:t xml:space="preserve">g) </w:t>
            </w:r>
          </w:p>
          <w:p w14:paraId="3EC2958D" w14:textId="77777777" w:rsidR="009420D5" w:rsidRPr="00C8184F" w:rsidRDefault="009420D5" w:rsidP="009420D5">
            <w:pPr>
              <w:cnfStyle w:val="000000100000" w:firstRow="0" w:lastRow="0" w:firstColumn="0" w:lastColumn="0" w:oddVBand="0" w:evenVBand="0" w:oddHBand="1" w:evenHBand="0" w:firstRowFirstColumn="0" w:firstRowLastColumn="0" w:lastRowFirstColumn="0" w:lastRowLastColumn="0"/>
              <w:rPr>
                <w:bCs/>
                <w:sz w:val="10"/>
                <w:szCs w:val="10"/>
              </w:rPr>
            </w:pPr>
          </w:p>
          <w:p w14:paraId="49F00FD9" w14:textId="77777777" w:rsidR="009420D5" w:rsidRDefault="009420D5" w:rsidP="009420D5">
            <w:pPr>
              <w:cnfStyle w:val="000000100000" w:firstRow="0" w:lastRow="0" w:firstColumn="0" w:lastColumn="0" w:oddVBand="0" w:evenVBand="0" w:oddHBand="1" w:evenHBand="0" w:firstRowFirstColumn="0" w:firstRowLastColumn="0" w:lastRowFirstColumn="0" w:lastRowLastColumn="0"/>
              <w:rPr>
                <w:bCs/>
                <w:sz w:val="18"/>
                <w:szCs w:val="18"/>
              </w:rPr>
            </w:pPr>
            <w:proofErr w:type="spellStart"/>
            <w:r>
              <w:rPr>
                <w:bCs/>
                <w:sz w:val="18"/>
                <w:szCs w:val="18"/>
              </w:rPr>
              <w:t>i.v.</w:t>
            </w:r>
            <w:proofErr w:type="spellEnd"/>
            <w:r>
              <w:rPr>
                <w:bCs/>
                <w:sz w:val="18"/>
                <w:szCs w:val="18"/>
              </w:rPr>
              <w:t xml:space="preserve"> over 20 min: 50 mg.kg</w:t>
            </w:r>
            <w:r w:rsidRPr="00F82ACE">
              <w:rPr>
                <w:bCs/>
                <w:sz w:val="18"/>
                <w:szCs w:val="18"/>
                <w:vertAlign w:val="superscript"/>
              </w:rPr>
              <w:t>-1</w:t>
            </w:r>
            <w:r>
              <w:rPr>
                <w:bCs/>
                <w:sz w:val="18"/>
                <w:szCs w:val="18"/>
              </w:rPr>
              <w:t xml:space="preserve"> (Adult 2 g)</w:t>
            </w:r>
          </w:p>
          <w:p w14:paraId="199CD891" w14:textId="77777777" w:rsidR="009420D5" w:rsidRPr="00C8184F" w:rsidRDefault="009420D5" w:rsidP="009420D5">
            <w:pPr>
              <w:cnfStyle w:val="000000100000" w:firstRow="0" w:lastRow="0" w:firstColumn="0" w:lastColumn="0" w:oddVBand="0" w:evenVBand="0" w:oddHBand="1" w:evenHBand="0" w:firstRowFirstColumn="0" w:firstRowLastColumn="0" w:lastRowFirstColumn="0" w:lastRowLastColumn="0"/>
              <w:rPr>
                <w:bCs/>
                <w:sz w:val="10"/>
                <w:szCs w:val="10"/>
              </w:rPr>
            </w:pPr>
          </w:p>
          <w:p w14:paraId="312CF942" w14:textId="77777777" w:rsidR="009420D5" w:rsidRDefault="009420D5" w:rsidP="009420D5">
            <w:pPr>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Bolus: Adult 20 mg</w:t>
            </w:r>
          </w:p>
          <w:p w14:paraId="256336DD" w14:textId="77777777" w:rsidR="009420D5" w:rsidRDefault="009420D5" w:rsidP="009420D5">
            <w:pPr>
              <w:cnfStyle w:val="000000100000" w:firstRow="0" w:lastRow="0" w:firstColumn="0" w:lastColumn="0" w:oddVBand="0" w:evenVBand="0" w:oddHBand="1" w:evenHBand="0" w:firstRowFirstColumn="0" w:firstRowLastColumn="0" w:lastRowFirstColumn="0" w:lastRowLastColumn="0"/>
              <w:rPr>
                <w:bCs/>
                <w:sz w:val="18"/>
                <w:szCs w:val="18"/>
              </w:rPr>
            </w:pPr>
            <w:proofErr w:type="spellStart"/>
            <w:r>
              <w:rPr>
                <w:bCs/>
                <w:sz w:val="18"/>
                <w:szCs w:val="18"/>
              </w:rPr>
              <w:t>i.v.</w:t>
            </w:r>
            <w:proofErr w:type="spellEnd"/>
            <w:r>
              <w:rPr>
                <w:bCs/>
                <w:sz w:val="18"/>
                <w:szCs w:val="18"/>
              </w:rPr>
              <w:t xml:space="preserve"> Infusion: 1-3 mg.kg</w:t>
            </w:r>
            <w:r w:rsidRPr="00F82ACE">
              <w:rPr>
                <w:bCs/>
                <w:sz w:val="18"/>
                <w:szCs w:val="18"/>
                <w:vertAlign w:val="superscript"/>
              </w:rPr>
              <w:t>-1</w:t>
            </w:r>
            <w:r>
              <w:rPr>
                <w:bCs/>
                <w:sz w:val="18"/>
                <w:szCs w:val="18"/>
              </w:rPr>
              <w:t>.hr</w:t>
            </w:r>
            <w:r w:rsidRPr="00F82ACE">
              <w:rPr>
                <w:bCs/>
                <w:sz w:val="18"/>
                <w:szCs w:val="18"/>
                <w:vertAlign w:val="superscript"/>
              </w:rPr>
              <w:t>-1</w:t>
            </w:r>
          </w:p>
          <w:p w14:paraId="6A3C869D" w14:textId="77777777" w:rsidR="009420D5" w:rsidRPr="00C8184F" w:rsidRDefault="009420D5" w:rsidP="009420D5">
            <w:pPr>
              <w:cnfStyle w:val="000000100000" w:firstRow="0" w:lastRow="0" w:firstColumn="0" w:lastColumn="0" w:oddVBand="0" w:evenVBand="0" w:oddHBand="1" w:evenHBand="0" w:firstRowFirstColumn="0" w:firstRowLastColumn="0" w:lastRowFirstColumn="0" w:lastRowLastColumn="0"/>
              <w:rPr>
                <w:bCs/>
                <w:sz w:val="10"/>
                <w:szCs w:val="10"/>
              </w:rPr>
            </w:pPr>
          </w:p>
          <w:p w14:paraId="2F051612" w14:textId="77777777" w:rsidR="009420D5" w:rsidRDefault="009420D5" w:rsidP="009420D5">
            <w:pPr>
              <w:cnfStyle w:val="000000100000" w:firstRow="0" w:lastRow="0" w:firstColumn="0" w:lastColumn="0" w:oddVBand="0" w:evenVBand="0" w:oddHBand="1" w:evenHBand="0" w:firstRowFirstColumn="0" w:firstRowLastColumn="0" w:lastRowFirstColumn="0" w:lastRowLastColumn="0"/>
              <w:rPr>
                <w:bCs/>
                <w:sz w:val="18"/>
                <w:szCs w:val="18"/>
              </w:rPr>
            </w:pPr>
            <w:proofErr w:type="spellStart"/>
            <w:r>
              <w:rPr>
                <w:bCs/>
                <w:sz w:val="18"/>
                <w:szCs w:val="18"/>
              </w:rPr>
              <w:t>i.v.</w:t>
            </w:r>
            <w:proofErr w:type="spellEnd"/>
            <w:r>
              <w:rPr>
                <w:bCs/>
                <w:sz w:val="18"/>
                <w:szCs w:val="18"/>
              </w:rPr>
              <w:t xml:space="preserve"> over 20 min: 5 mg.kg</w:t>
            </w:r>
            <w:r w:rsidRPr="00F82ACE">
              <w:rPr>
                <w:bCs/>
                <w:sz w:val="18"/>
                <w:szCs w:val="18"/>
                <w:vertAlign w:val="superscript"/>
              </w:rPr>
              <w:t>-1</w:t>
            </w:r>
            <w:r>
              <w:rPr>
                <w:bCs/>
                <w:sz w:val="18"/>
                <w:szCs w:val="18"/>
              </w:rPr>
              <w:t xml:space="preserve"> (omit if already on theophylline)</w:t>
            </w:r>
          </w:p>
          <w:p w14:paraId="712C6CA1" w14:textId="77777777" w:rsidR="009420D5" w:rsidRDefault="009420D5" w:rsidP="009420D5">
            <w:pPr>
              <w:cnfStyle w:val="000000100000" w:firstRow="0" w:lastRow="0" w:firstColumn="0" w:lastColumn="0" w:oddVBand="0" w:evenVBand="0" w:oddHBand="1" w:evenHBand="0" w:firstRowFirstColumn="0" w:firstRowLastColumn="0" w:lastRowFirstColumn="0" w:lastRowLastColumn="0"/>
              <w:rPr>
                <w:bCs/>
                <w:sz w:val="18"/>
                <w:szCs w:val="18"/>
              </w:rPr>
            </w:pPr>
            <w:proofErr w:type="spellStart"/>
            <w:r>
              <w:rPr>
                <w:bCs/>
                <w:sz w:val="18"/>
                <w:szCs w:val="18"/>
              </w:rPr>
              <w:t>i.v.</w:t>
            </w:r>
            <w:proofErr w:type="spellEnd"/>
            <w:r>
              <w:rPr>
                <w:bCs/>
                <w:sz w:val="18"/>
                <w:szCs w:val="18"/>
              </w:rPr>
              <w:t xml:space="preserve"> infusion:</w:t>
            </w:r>
          </w:p>
          <w:p w14:paraId="50505040" w14:textId="77777777" w:rsidR="009420D5" w:rsidRDefault="009420D5" w:rsidP="009420D5">
            <w:pPr>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 xml:space="preserve">&lt;9 </w:t>
            </w:r>
            <w:proofErr w:type="spellStart"/>
            <w:r>
              <w:rPr>
                <w:bCs/>
                <w:sz w:val="18"/>
                <w:szCs w:val="18"/>
              </w:rPr>
              <w:t>yr</w:t>
            </w:r>
            <w:proofErr w:type="spellEnd"/>
            <w:r>
              <w:rPr>
                <w:bCs/>
                <w:sz w:val="18"/>
                <w:szCs w:val="18"/>
              </w:rPr>
              <w:t xml:space="preserve"> 1 mg.kg</w:t>
            </w:r>
            <w:r w:rsidRPr="00F82ACE">
              <w:rPr>
                <w:bCs/>
                <w:sz w:val="18"/>
                <w:szCs w:val="18"/>
                <w:vertAlign w:val="superscript"/>
              </w:rPr>
              <w:t>-1</w:t>
            </w:r>
            <w:r>
              <w:rPr>
                <w:bCs/>
                <w:sz w:val="18"/>
                <w:szCs w:val="18"/>
              </w:rPr>
              <w:t>.hr</w:t>
            </w:r>
            <w:r w:rsidRPr="00F82ACE">
              <w:rPr>
                <w:bCs/>
                <w:sz w:val="18"/>
                <w:szCs w:val="18"/>
                <w:vertAlign w:val="superscript"/>
              </w:rPr>
              <w:t>-1</w:t>
            </w:r>
            <w:r>
              <w:rPr>
                <w:bCs/>
                <w:sz w:val="18"/>
                <w:szCs w:val="18"/>
              </w:rPr>
              <w:t xml:space="preserve">; &lt;16 </w:t>
            </w:r>
            <w:proofErr w:type="spellStart"/>
            <w:r>
              <w:rPr>
                <w:bCs/>
                <w:sz w:val="18"/>
                <w:szCs w:val="18"/>
              </w:rPr>
              <w:t>yr</w:t>
            </w:r>
            <w:proofErr w:type="spellEnd"/>
            <w:r>
              <w:rPr>
                <w:bCs/>
                <w:sz w:val="18"/>
                <w:szCs w:val="18"/>
              </w:rPr>
              <w:t xml:space="preserve"> 0.8 mg.kg</w:t>
            </w:r>
            <w:r w:rsidRPr="00F82ACE">
              <w:rPr>
                <w:bCs/>
                <w:sz w:val="18"/>
                <w:szCs w:val="18"/>
                <w:vertAlign w:val="superscript"/>
              </w:rPr>
              <w:t>-1</w:t>
            </w:r>
            <w:r>
              <w:rPr>
                <w:bCs/>
                <w:sz w:val="18"/>
                <w:szCs w:val="18"/>
              </w:rPr>
              <w:t>.h</w:t>
            </w:r>
            <w:r w:rsidRPr="00F82ACE">
              <w:rPr>
                <w:bCs/>
                <w:sz w:val="18"/>
                <w:szCs w:val="18"/>
                <w:vertAlign w:val="superscript"/>
              </w:rPr>
              <w:t>-1</w:t>
            </w:r>
            <w:r>
              <w:rPr>
                <w:bCs/>
                <w:sz w:val="18"/>
                <w:szCs w:val="18"/>
              </w:rPr>
              <w:t>; Adult 0.5 mg.kg</w:t>
            </w:r>
            <w:r w:rsidRPr="00F82ACE">
              <w:rPr>
                <w:bCs/>
                <w:sz w:val="18"/>
                <w:szCs w:val="18"/>
                <w:vertAlign w:val="superscript"/>
              </w:rPr>
              <w:t>-1</w:t>
            </w:r>
            <w:r>
              <w:rPr>
                <w:bCs/>
                <w:sz w:val="18"/>
                <w:szCs w:val="18"/>
              </w:rPr>
              <w:t>.h</w:t>
            </w:r>
            <w:r w:rsidRPr="00F82ACE">
              <w:rPr>
                <w:bCs/>
                <w:sz w:val="18"/>
                <w:szCs w:val="18"/>
                <w:vertAlign w:val="superscript"/>
              </w:rPr>
              <w:t>-1</w:t>
            </w:r>
          </w:p>
          <w:p w14:paraId="34239984" w14:textId="77777777" w:rsidR="009420D5" w:rsidRPr="00C8184F" w:rsidRDefault="009420D5" w:rsidP="009420D5">
            <w:pPr>
              <w:cnfStyle w:val="000000100000" w:firstRow="0" w:lastRow="0" w:firstColumn="0" w:lastColumn="0" w:oddVBand="0" w:evenVBand="0" w:oddHBand="1" w:evenHBand="0" w:firstRowFirstColumn="0" w:firstRowLastColumn="0" w:lastRowFirstColumn="0" w:lastRowLastColumn="0"/>
              <w:rPr>
                <w:bCs/>
                <w:sz w:val="10"/>
                <w:szCs w:val="10"/>
              </w:rPr>
            </w:pPr>
          </w:p>
          <w:p w14:paraId="54C536DE" w14:textId="77777777" w:rsidR="009420D5" w:rsidRPr="00A06E05" w:rsidRDefault="009420D5" w:rsidP="009420D5">
            <w:pPr>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4 mg.kg</w:t>
            </w:r>
            <w:r w:rsidRPr="00F82ACE">
              <w:rPr>
                <w:bCs/>
                <w:sz w:val="18"/>
                <w:szCs w:val="18"/>
                <w:vertAlign w:val="superscript"/>
              </w:rPr>
              <w:t>-1</w:t>
            </w:r>
            <w:r>
              <w:rPr>
                <w:bCs/>
                <w:sz w:val="18"/>
                <w:szCs w:val="18"/>
              </w:rPr>
              <w:t xml:space="preserve"> (Adult 200 mg)</w:t>
            </w:r>
          </w:p>
        </w:tc>
      </w:tr>
    </w:tbl>
    <w:p w14:paraId="6F8FC07F" w14:textId="77777777" w:rsidR="00042F42" w:rsidRPr="00042F42" w:rsidRDefault="00042F42" w:rsidP="00042F42"/>
    <w:p w14:paraId="78D8ACEA" w14:textId="77777777" w:rsidR="00042F42" w:rsidRPr="00633AFE" w:rsidRDefault="00042F42" w:rsidP="00042F42"/>
    <w:p w14:paraId="2B6E72B0" w14:textId="77777777" w:rsidR="00042F42" w:rsidRPr="00633AFE" w:rsidRDefault="00042F42" w:rsidP="00042F42"/>
    <w:p w14:paraId="47329025" w14:textId="77777777" w:rsidR="00042F42" w:rsidRPr="00633AFE" w:rsidRDefault="00042F42" w:rsidP="00042F42"/>
    <w:p w14:paraId="79D0BCD8" w14:textId="77777777" w:rsidR="00042F42" w:rsidRPr="00633AFE" w:rsidRDefault="00042F42" w:rsidP="00042F42"/>
    <w:p w14:paraId="57E9AFC4" w14:textId="77777777" w:rsidR="00042F42" w:rsidRPr="00633AFE" w:rsidRDefault="00042F42" w:rsidP="00042F42"/>
    <w:p w14:paraId="3B08D170" w14:textId="77777777" w:rsidR="00042F42" w:rsidRPr="00633AFE" w:rsidRDefault="00042F42" w:rsidP="00042F42"/>
    <w:p w14:paraId="5C578A5B" w14:textId="77777777" w:rsidR="00042F42" w:rsidRPr="00633AFE" w:rsidRDefault="00042F42" w:rsidP="00042F42"/>
    <w:p w14:paraId="2563A8A4" w14:textId="77777777" w:rsidR="00042F42" w:rsidRPr="00633AFE" w:rsidRDefault="00042F42" w:rsidP="00042F42"/>
    <w:p w14:paraId="7B495E69" w14:textId="77777777" w:rsidR="00042F42" w:rsidRPr="00042F42" w:rsidRDefault="00042F42" w:rsidP="00042F42"/>
    <w:tbl>
      <w:tblPr>
        <w:tblStyle w:val="LightList-Accent4"/>
        <w:tblpPr w:leftFromText="180" w:rightFromText="180" w:vertAnchor="text" w:horzAnchor="margin" w:tblpXSpec="right" w:tblpY="215"/>
        <w:tblW w:w="0" w:type="auto"/>
        <w:tblLook w:val="04A0" w:firstRow="1" w:lastRow="0" w:firstColumn="1" w:lastColumn="0" w:noHBand="0" w:noVBand="1"/>
      </w:tblPr>
      <w:tblGrid>
        <w:gridCol w:w="6917"/>
      </w:tblGrid>
      <w:tr w:rsidR="00530EDF" w14:paraId="2AFFFC97" w14:textId="77777777" w:rsidTr="00530EDF">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6917" w:type="dxa"/>
          </w:tcPr>
          <w:p w14:paraId="3B363E47" w14:textId="77777777" w:rsidR="00530EDF" w:rsidRDefault="00530EDF" w:rsidP="00530EDF">
            <w:r>
              <w:t>Box C: ACTIONS IF AIRWAY SOILING/ASPIRATION</w:t>
            </w:r>
          </w:p>
        </w:tc>
      </w:tr>
      <w:tr w:rsidR="00530EDF" w14:paraId="10846AB5" w14:textId="77777777" w:rsidTr="00530EDF">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6917" w:type="dxa"/>
            <w:tcBorders>
              <w:top w:val="none" w:sz="0" w:space="0" w:color="auto"/>
              <w:left w:val="none" w:sz="0" w:space="0" w:color="auto"/>
              <w:bottom w:val="none" w:sz="0" w:space="0" w:color="auto"/>
              <w:right w:val="none" w:sz="0" w:space="0" w:color="auto"/>
            </w:tcBorders>
          </w:tcPr>
          <w:p w14:paraId="3989FBAE" w14:textId="77777777" w:rsidR="00530EDF" w:rsidRDefault="00530EDF" w:rsidP="00530EDF">
            <w:pPr>
              <w:rPr>
                <w:b w:val="0"/>
                <w:sz w:val="18"/>
              </w:rPr>
            </w:pPr>
            <w:r w:rsidRPr="00BD4115">
              <w:rPr>
                <w:b w:val="0"/>
                <w:sz w:val="18"/>
              </w:rPr>
              <w:t>Consider tr</w:t>
            </w:r>
            <w:r>
              <w:rPr>
                <w:b w:val="0"/>
                <w:sz w:val="18"/>
              </w:rPr>
              <w:t>acheal intubation and t</w:t>
            </w:r>
            <w:r w:rsidRPr="00BD4115">
              <w:rPr>
                <w:b w:val="0"/>
                <w:sz w:val="18"/>
              </w:rPr>
              <w:t>racheal toilet</w:t>
            </w:r>
          </w:p>
          <w:p w14:paraId="7D891F58" w14:textId="77777777" w:rsidR="00530EDF" w:rsidRPr="009420D5" w:rsidRDefault="00530EDF" w:rsidP="00530EDF">
            <w:pPr>
              <w:rPr>
                <w:b w:val="0"/>
                <w:sz w:val="18"/>
              </w:rPr>
            </w:pPr>
            <w:r>
              <w:rPr>
                <w:b w:val="0"/>
                <w:sz w:val="18"/>
              </w:rPr>
              <w:t>Use nasogastric tube to aspirate gastric contents</w:t>
            </w:r>
          </w:p>
        </w:tc>
      </w:tr>
    </w:tbl>
    <w:p w14:paraId="16BEB785" w14:textId="77777777" w:rsidR="00042F42" w:rsidRPr="00042F42" w:rsidRDefault="00042F42" w:rsidP="00042F42"/>
    <w:p w14:paraId="2D932197" w14:textId="77777777" w:rsidR="00042F42" w:rsidRPr="00042F42" w:rsidRDefault="00042F42" w:rsidP="003511EE">
      <w:pPr>
        <w:spacing w:after="0" w:line="240" w:lineRule="auto"/>
      </w:pPr>
    </w:p>
    <w:tbl>
      <w:tblPr>
        <w:tblStyle w:val="LightList"/>
        <w:tblpPr w:leftFromText="180" w:rightFromText="180" w:vertAnchor="text" w:horzAnchor="margin" w:tblpXSpec="right" w:tblpY="277"/>
        <w:tblW w:w="0" w:type="auto"/>
        <w:tblLook w:val="04A0" w:firstRow="1" w:lastRow="0" w:firstColumn="1" w:lastColumn="0" w:noHBand="0" w:noVBand="1"/>
      </w:tblPr>
      <w:tblGrid>
        <w:gridCol w:w="6917"/>
      </w:tblGrid>
      <w:tr w:rsidR="00530EDF" w:rsidRPr="00633AFE" w14:paraId="13A8A39A" w14:textId="77777777" w:rsidTr="00530E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7" w:type="dxa"/>
          </w:tcPr>
          <w:p w14:paraId="54C48ED7" w14:textId="77777777" w:rsidR="00530EDF" w:rsidRPr="00845ADC" w:rsidRDefault="00530EDF" w:rsidP="00530EDF">
            <w:r w:rsidRPr="00845ADC">
              <w:t>Box D: VENTILATION STRATEGIES</w:t>
            </w:r>
          </w:p>
        </w:tc>
      </w:tr>
      <w:tr w:rsidR="00530EDF" w:rsidRPr="00633AFE" w14:paraId="1D25FF79" w14:textId="77777777" w:rsidTr="00530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7" w:type="dxa"/>
            <w:tcBorders>
              <w:top w:val="none" w:sz="0" w:space="0" w:color="auto"/>
              <w:left w:val="none" w:sz="0" w:space="0" w:color="auto"/>
              <w:bottom w:val="none" w:sz="0" w:space="0" w:color="auto"/>
              <w:right w:val="none" w:sz="0" w:space="0" w:color="auto"/>
            </w:tcBorders>
          </w:tcPr>
          <w:p w14:paraId="47990816" w14:textId="77777777" w:rsidR="00530EDF" w:rsidRDefault="00530EDF" w:rsidP="00530EDF">
            <w:pPr>
              <w:rPr>
                <w:b w:val="0"/>
                <w:sz w:val="18"/>
                <w:szCs w:val="18"/>
              </w:rPr>
            </w:pPr>
            <w:r w:rsidRPr="00FD15F3">
              <w:rPr>
                <w:b w:val="0"/>
                <w:sz w:val="18"/>
                <w:szCs w:val="18"/>
              </w:rPr>
              <w:t>Increase expiratory time to allow complete expiration</w:t>
            </w:r>
          </w:p>
          <w:p w14:paraId="54D81639" w14:textId="77777777" w:rsidR="00530EDF" w:rsidRPr="00FD15F3" w:rsidRDefault="00530EDF" w:rsidP="00530EDF">
            <w:pPr>
              <w:rPr>
                <w:b w:val="0"/>
                <w:sz w:val="18"/>
                <w:szCs w:val="18"/>
              </w:rPr>
            </w:pPr>
            <w:r>
              <w:rPr>
                <w:b w:val="0"/>
                <w:sz w:val="18"/>
                <w:szCs w:val="18"/>
              </w:rPr>
              <w:t>Pressure control ventilation may be better</w:t>
            </w:r>
          </w:p>
          <w:p w14:paraId="00D96792" w14:textId="77777777" w:rsidR="00530EDF" w:rsidRPr="00FD15F3" w:rsidRDefault="00530EDF" w:rsidP="00530EDF">
            <w:pPr>
              <w:rPr>
                <w:b w:val="0"/>
                <w:sz w:val="18"/>
                <w:szCs w:val="18"/>
              </w:rPr>
            </w:pPr>
            <w:r>
              <w:rPr>
                <w:b w:val="0"/>
                <w:sz w:val="18"/>
                <w:szCs w:val="18"/>
              </w:rPr>
              <w:t>Be alert to ‘breath stacking’</w:t>
            </w:r>
          </w:p>
          <w:p w14:paraId="2F66FDDE" w14:textId="77777777" w:rsidR="00530EDF" w:rsidRPr="00FD15F3" w:rsidRDefault="00530EDF" w:rsidP="00530EDF">
            <w:pPr>
              <w:rPr>
                <w:b w:val="0"/>
              </w:rPr>
            </w:pPr>
            <w:r w:rsidRPr="00FD15F3">
              <w:rPr>
                <w:b w:val="0"/>
                <w:sz w:val="18"/>
                <w:szCs w:val="18"/>
              </w:rPr>
              <w:t>Permissive</w:t>
            </w:r>
            <w:r w:rsidRPr="00FD15F3">
              <w:rPr>
                <w:b w:val="0"/>
                <w:sz w:val="18"/>
              </w:rPr>
              <w:t xml:space="preserve"> hypercapnia may be appropriate</w:t>
            </w:r>
          </w:p>
        </w:tc>
      </w:tr>
    </w:tbl>
    <w:p w14:paraId="5CC8529C" w14:textId="62CF43E2" w:rsidR="00042F42" w:rsidRDefault="00965F2D" w:rsidP="00042F42">
      <w:r>
        <w:rPr>
          <w:rFonts w:ascii="Times New Roman" w:eastAsia="Calibri"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4413E320" wp14:editId="0D0DBB18">
                <wp:simplePos x="0" y="0"/>
                <wp:positionH relativeFrom="column">
                  <wp:posOffset>-102870</wp:posOffset>
                </wp:positionH>
                <wp:positionV relativeFrom="paragraph">
                  <wp:posOffset>1075690</wp:posOffset>
                </wp:positionV>
                <wp:extent cx="8499475" cy="514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9475" cy="514350"/>
                        </a:xfrm>
                        <a:prstGeom prst="rect">
                          <a:avLst/>
                        </a:prstGeom>
                        <a:noFill/>
                        <a:ln w="9525">
                          <a:noFill/>
                          <a:miter lim="800000"/>
                          <a:headEnd/>
                          <a:tailEnd/>
                        </a:ln>
                      </wps:spPr>
                      <wps:txbx>
                        <w:txbxContent>
                          <w:p w14:paraId="0CF0BDA3" w14:textId="310A040F" w:rsidR="00D760E9" w:rsidRDefault="002E2051" w:rsidP="00D760E9">
                            <w:pPr>
                              <w:spacing w:after="0"/>
                              <w:rPr>
                                <w:b/>
                                <w:bCs/>
                                <w:sz w:val="16"/>
                                <w:szCs w:val="16"/>
                              </w:rPr>
                            </w:pPr>
                            <w:r w:rsidRPr="002E2051">
                              <w:rPr>
                                <w:bCs/>
                                <w:sz w:val="16"/>
                                <w:szCs w:val="16"/>
                              </w:rPr>
                              <w:t xml:space="preserve">Association </w:t>
                            </w:r>
                            <w:r w:rsidR="00050C21">
                              <w:rPr>
                                <w:bCs/>
                                <w:sz w:val="16"/>
                                <w:szCs w:val="16"/>
                              </w:rPr>
                              <w:t>o</w:t>
                            </w:r>
                            <w:r w:rsidRPr="002E2051">
                              <w:rPr>
                                <w:bCs/>
                                <w:sz w:val="16"/>
                                <w:szCs w:val="16"/>
                              </w:rPr>
                              <w:t xml:space="preserve">f Anaesthetists </w:t>
                            </w:r>
                            <w:r w:rsidR="00EA4772">
                              <w:rPr>
                                <w:bCs/>
                                <w:sz w:val="16"/>
                                <w:szCs w:val="16"/>
                              </w:rPr>
                              <w:t>20</w:t>
                            </w:r>
                            <w:r w:rsidR="00880696" w:rsidRPr="009420D5">
                              <w:rPr>
                                <w:bCs/>
                                <w:sz w:val="16"/>
                                <w:szCs w:val="16"/>
                              </w:rPr>
                              <w:t>23</w:t>
                            </w:r>
                            <w:r w:rsidR="00D760E9">
                              <w:rPr>
                                <w:b/>
                                <w:bCs/>
                                <w:sz w:val="16"/>
                                <w:szCs w:val="16"/>
                              </w:rPr>
                              <w:t xml:space="preserve">. </w:t>
                            </w:r>
                            <w:r w:rsidR="00D760E9">
                              <w:rPr>
                                <w:b/>
                                <w:bCs/>
                                <w:color w:val="0000FF"/>
                                <w:sz w:val="16"/>
                                <w:szCs w:val="16"/>
                                <w:u w:val="single"/>
                              </w:rPr>
                              <w:t>www.a</w:t>
                            </w:r>
                            <w:r w:rsidR="009420D5">
                              <w:rPr>
                                <w:b/>
                                <w:bCs/>
                                <w:color w:val="0000FF"/>
                                <w:sz w:val="16"/>
                                <w:szCs w:val="16"/>
                                <w:u w:val="single"/>
                              </w:rPr>
                              <w:t>naesthetists</w:t>
                            </w:r>
                            <w:r w:rsidR="00D760E9">
                              <w:rPr>
                                <w:b/>
                                <w:bCs/>
                                <w:color w:val="0000FF"/>
                                <w:sz w:val="16"/>
                                <w:szCs w:val="16"/>
                                <w:u w:val="single"/>
                              </w:rPr>
                              <w:t>.org/qrh</w:t>
                            </w:r>
                            <w:r w:rsidR="00D760E9">
                              <w:rPr>
                                <w:b/>
                                <w:bCs/>
                                <w:sz w:val="16"/>
                                <w:szCs w:val="16"/>
                              </w:rPr>
                              <w:t xml:space="preserve"> </w:t>
                            </w:r>
                            <w:r w:rsidR="00D760E9">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3E320" id="_x0000_t202" coordsize="21600,21600" o:spt="202" path="m,l,21600r21600,l21600,xe">
                <v:stroke joinstyle="miter"/>
                <v:path gradientshapeok="t" o:connecttype="rect"/>
              </v:shapetype>
              <v:shape id="Text Box 3" o:spid="_x0000_s1027" type="#_x0000_t202" style="position:absolute;margin-left:-8.1pt;margin-top:84.7pt;width:669.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" filled="f" stroked="f">
                <v:textbox>
                  <w:txbxContent>
                    <w:p w14:paraId="0CF0BDA3" w14:textId="310A040F" w:rsidR="00D760E9" w:rsidRDefault="002E2051" w:rsidP="00D760E9">
                      <w:pPr>
                        <w:spacing w:after="0"/>
                        <w:rPr>
                          <w:b/>
                          <w:bCs/>
                          <w:sz w:val="16"/>
                          <w:szCs w:val="16"/>
                        </w:rPr>
                      </w:pPr>
                      <w:r w:rsidRPr="002E2051">
                        <w:rPr>
                          <w:bCs/>
                          <w:sz w:val="16"/>
                          <w:szCs w:val="16"/>
                        </w:rPr>
                        <w:t xml:space="preserve">Association </w:t>
                      </w:r>
                      <w:r w:rsidR="00050C21">
                        <w:rPr>
                          <w:bCs/>
                          <w:sz w:val="16"/>
                          <w:szCs w:val="16"/>
                        </w:rPr>
                        <w:t>o</w:t>
                      </w:r>
                      <w:r w:rsidRPr="002E2051">
                        <w:rPr>
                          <w:bCs/>
                          <w:sz w:val="16"/>
                          <w:szCs w:val="16"/>
                        </w:rPr>
                        <w:t xml:space="preserve">f Anaesthetists </w:t>
                      </w:r>
                      <w:r w:rsidR="00EA4772">
                        <w:rPr>
                          <w:bCs/>
                          <w:sz w:val="16"/>
                          <w:szCs w:val="16"/>
                        </w:rPr>
                        <w:t>20</w:t>
                      </w:r>
                      <w:r w:rsidR="00880696" w:rsidRPr="009420D5">
                        <w:rPr>
                          <w:bCs/>
                          <w:sz w:val="16"/>
                          <w:szCs w:val="16"/>
                        </w:rPr>
                        <w:t>23</w:t>
                      </w:r>
                      <w:r w:rsidR="00D760E9">
                        <w:rPr>
                          <w:b/>
                          <w:bCs/>
                          <w:sz w:val="16"/>
                          <w:szCs w:val="16"/>
                        </w:rPr>
                        <w:t xml:space="preserve">. </w:t>
                      </w:r>
                      <w:r w:rsidR="00D760E9">
                        <w:rPr>
                          <w:b/>
                          <w:bCs/>
                          <w:color w:val="0000FF"/>
                          <w:sz w:val="16"/>
                          <w:szCs w:val="16"/>
                          <w:u w:val="single"/>
                        </w:rPr>
                        <w:t>www.a</w:t>
                      </w:r>
                      <w:r w:rsidR="009420D5">
                        <w:rPr>
                          <w:b/>
                          <w:bCs/>
                          <w:color w:val="0000FF"/>
                          <w:sz w:val="16"/>
                          <w:szCs w:val="16"/>
                          <w:u w:val="single"/>
                        </w:rPr>
                        <w:t>naesthetists</w:t>
                      </w:r>
                      <w:r w:rsidR="00D760E9">
                        <w:rPr>
                          <w:b/>
                          <w:bCs/>
                          <w:color w:val="0000FF"/>
                          <w:sz w:val="16"/>
                          <w:szCs w:val="16"/>
                          <w:u w:val="single"/>
                        </w:rPr>
                        <w:t>.org/qrh</w:t>
                      </w:r>
                      <w:r w:rsidR="00D760E9">
                        <w:rPr>
                          <w:b/>
                          <w:bCs/>
                          <w:sz w:val="16"/>
                          <w:szCs w:val="16"/>
                        </w:rPr>
                        <w:t xml:space="preserve"> </w:t>
                      </w:r>
                      <w:r w:rsidR="00D760E9">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9FD0B3B" wp14:editId="77B5F0D4">
                <wp:simplePos x="0" y="0"/>
                <wp:positionH relativeFrom="column">
                  <wp:posOffset>9142095</wp:posOffset>
                </wp:positionH>
                <wp:positionV relativeFrom="paragraph">
                  <wp:posOffset>1121410</wp:posOffset>
                </wp:positionV>
                <wp:extent cx="733425" cy="467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67360"/>
                        </a:xfrm>
                        <a:prstGeom prst="rect">
                          <a:avLst/>
                        </a:prstGeom>
                        <a:solidFill>
                          <a:srgbClr val="FFFFFF"/>
                        </a:solidFill>
                        <a:ln w="9525">
                          <a:noFill/>
                          <a:miter lim="800000"/>
                          <a:headEnd/>
                          <a:tailEnd/>
                        </a:ln>
                      </wps:spPr>
                      <wps:txbx>
                        <w:txbxContent>
                          <w:p w14:paraId="61A6A055" w14:textId="77777777" w:rsidR="00B43CDE" w:rsidRPr="00003411" w:rsidRDefault="00D1618A" w:rsidP="00003411">
                            <w:pPr>
                              <w:jc w:val="center"/>
                              <w:rPr>
                                <w:color w:val="808080" w:themeColor="background1" w:themeShade="80"/>
                                <w:sz w:val="48"/>
                              </w:rPr>
                            </w:pPr>
                            <w:r>
                              <w:rPr>
                                <w:color w:val="808080" w:themeColor="background1" w:themeShade="80"/>
                                <w:sz w:val="48"/>
                              </w:rPr>
                              <w:t>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FD0B3B" id="_x0000_s1028" type="#_x0000_t202" style="position:absolute;margin-left:719.85pt;margin-top:88.3pt;width:57.75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" stroked="f">
                <v:textbox>
                  <w:txbxContent>
                    <w:p w14:paraId="61A6A055" w14:textId="77777777" w:rsidR="00B43CDE" w:rsidRPr="00003411" w:rsidRDefault="00D1618A" w:rsidP="00003411">
                      <w:pPr>
                        <w:jc w:val="center"/>
                        <w:rPr>
                          <w:color w:val="808080" w:themeColor="background1" w:themeShade="80"/>
                          <w:sz w:val="48"/>
                        </w:rPr>
                      </w:pPr>
                      <w:r>
                        <w:rPr>
                          <w:color w:val="808080" w:themeColor="background1" w:themeShade="80"/>
                          <w:sz w:val="48"/>
                        </w:rPr>
                        <w:t>3-4</w:t>
                      </w:r>
                    </w:p>
                  </w:txbxContent>
                </v:textbox>
              </v:shape>
            </w:pict>
          </mc:Fallback>
        </mc:AlternateContent>
      </w:r>
      <w:r w:rsidR="006515E3">
        <w:rPr>
          <w:noProof/>
          <w:lang w:val="en-US"/>
        </w:rPr>
        <w:t xml:space="preserve"> </w:t>
      </w:r>
      <w:r w:rsidR="00F737F1">
        <w:rPr>
          <w:noProof/>
          <w:lang w:eastAsia="en-GB"/>
        </w:rPr>
        <w:t xml:space="preserve"> </w:t>
      </w:r>
    </w:p>
    <w:sectPr w:rsidR="00042F42" w:rsidSect="007B1D5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8FDCB" w14:textId="77777777" w:rsidR="009215E7" w:rsidRDefault="009215E7" w:rsidP="00725899">
      <w:pPr>
        <w:spacing w:after="0" w:line="240" w:lineRule="auto"/>
      </w:pPr>
      <w:r>
        <w:separator/>
      </w:r>
    </w:p>
  </w:endnote>
  <w:endnote w:type="continuationSeparator" w:id="0">
    <w:p w14:paraId="3A36D89C" w14:textId="77777777" w:rsidR="009215E7" w:rsidRDefault="009215E7" w:rsidP="0072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C942B" w14:textId="77777777" w:rsidR="009215E7" w:rsidRDefault="009215E7" w:rsidP="00725899">
      <w:pPr>
        <w:spacing w:after="0" w:line="240" w:lineRule="auto"/>
      </w:pPr>
      <w:r>
        <w:separator/>
      </w:r>
    </w:p>
  </w:footnote>
  <w:footnote w:type="continuationSeparator" w:id="0">
    <w:p w14:paraId="444F0638" w14:textId="77777777" w:rsidR="009215E7" w:rsidRDefault="009215E7" w:rsidP="00725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7F2"/>
    <w:multiLevelType w:val="hybridMultilevel"/>
    <w:tmpl w:val="E578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8194E"/>
    <w:multiLevelType w:val="multilevel"/>
    <w:tmpl w:val="F224E83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796FE9"/>
    <w:multiLevelType w:val="hybridMultilevel"/>
    <w:tmpl w:val="B3D2189A"/>
    <w:lvl w:ilvl="0" w:tplc="ECAE723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64D91"/>
    <w:multiLevelType w:val="hybridMultilevel"/>
    <w:tmpl w:val="0DBE9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281397"/>
    <w:multiLevelType w:val="hybridMultilevel"/>
    <w:tmpl w:val="3E7A4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8D727B"/>
    <w:multiLevelType w:val="hybridMultilevel"/>
    <w:tmpl w:val="6918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13CBC"/>
    <w:multiLevelType w:val="hybridMultilevel"/>
    <w:tmpl w:val="71EE4D1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2F1C0FDD"/>
    <w:multiLevelType w:val="hybridMultilevel"/>
    <w:tmpl w:val="A068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F481F"/>
    <w:multiLevelType w:val="hybridMultilevel"/>
    <w:tmpl w:val="0756A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3D751D"/>
    <w:multiLevelType w:val="hybridMultilevel"/>
    <w:tmpl w:val="9E9AFB78"/>
    <w:lvl w:ilvl="0" w:tplc="ED6A99E6">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B62318"/>
    <w:multiLevelType w:val="hybridMultilevel"/>
    <w:tmpl w:val="218AE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F180F91"/>
    <w:multiLevelType w:val="hybridMultilevel"/>
    <w:tmpl w:val="ACB2D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7342F5E"/>
    <w:multiLevelType w:val="hybridMultilevel"/>
    <w:tmpl w:val="C89A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D12F6E"/>
    <w:multiLevelType w:val="hybridMultilevel"/>
    <w:tmpl w:val="7C042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296D22"/>
    <w:multiLevelType w:val="hybridMultilevel"/>
    <w:tmpl w:val="FEC2F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D50701D"/>
    <w:multiLevelType w:val="hybridMultilevel"/>
    <w:tmpl w:val="A8CA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F26A57"/>
    <w:multiLevelType w:val="hybridMultilevel"/>
    <w:tmpl w:val="8CE0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6069813">
    <w:abstractNumId w:val="5"/>
  </w:num>
  <w:num w:numId="2" w16cid:durableId="1829787980">
    <w:abstractNumId w:val="16"/>
  </w:num>
  <w:num w:numId="3" w16cid:durableId="954676543">
    <w:abstractNumId w:val="12"/>
  </w:num>
  <w:num w:numId="4" w16cid:durableId="701904612">
    <w:abstractNumId w:val="4"/>
  </w:num>
  <w:num w:numId="5" w16cid:durableId="1175261885">
    <w:abstractNumId w:val="11"/>
  </w:num>
  <w:num w:numId="6" w16cid:durableId="181825677">
    <w:abstractNumId w:val="14"/>
  </w:num>
  <w:num w:numId="7" w16cid:durableId="1902475715">
    <w:abstractNumId w:val="8"/>
  </w:num>
  <w:num w:numId="8" w16cid:durableId="482165156">
    <w:abstractNumId w:val="10"/>
  </w:num>
  <w:num w:numId="9" w16cid:durableId="1755278188">
    <w:abstractNumId w:val="15"/>
  </w:num>
  <w:num w:numId="10" w16cid:durableId="658079261">
    <w:abstractNumId w:val="7"/>
  </w:num>
  <w:num w:numId="11" w16cid:durableId="856699993">
    <w:abstractNumId w:val="6"/>
  </w:num>
  <w:num w:numId="12" w16cid:durableId="1935089021">
    <w:abstractNumId w:val="3"/>
  </w:num>
  <w:num w:numId="13" w16cid:durableId="529612523">
    <w:abstractNumId w:val="0"/>
  </w:num>
  <w:num w:numId="14" w16cid:durableId="1400708961">
    <w:abstractNumId w:val="9"/>
  </w:num>
  <w:num w:numId="15" w16cid:durableId="1112282784">
    <w:abstractNumId w:val="2"/>
  </w:num>
  <w:num w:numId="16" w16cid:durableId="1554929449">
    <w:abstractNumId w:val="13"/>
  </w:num>
  <w:num w:numId="17" w16cid:durableId="1459255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8C"/>
    <w:rsid w:val="00003411"/>
    <w:rsid w:val="0002085C"/>
    <w:rsid w:val="00042F42"/>
    <w:rsid w:val="00050C21"/>
    <w:rsid w:val="00083DD2"/>
    <w:rsid w:val="0011605F"/>
    <w:rsid w:val="00136000"/>
    <w:rsid w:val="00137878"/>
    <w:rsid w:val="00152A7C"/>
    <w:rsid w:val="00184D82"/>
    <w:rsid w:val="001A5E38"/>
    <w:rsid w:val="001A66A9"/>
    <w:rsid w:val="001D548C"/>
    <w:rsid w:val="001F6867"/>
    <w:rsid w:val="00202F76"/>
    <w:rsid w:val="002365AB"/>
    <w:rsid w:val="00240BAC"/>
    <w:rsid w:val="002E2051"/>
    <w:rsid w:val="00314A28"/>
    <w:rsid w:val="00350200"/>
    <w:rsid w:val="003511EE"/>
    <w:rsid w:val="00397D92"/>
    <w:rsid w:val="003B0516"/>
    <w:rsid w:val="003E1A3F"/>
    <w:rsid w:val="004139C8"/>
    <w:rsid w:val="00427D54"/>
    <w:rsid w:val="0044237C"/>
    <w:rsid w:val="004555AC"/>
    <w:rsid w:val="00457E8C"/>
    <w:rsid w:val="00477198"/>
    <w:rsid w:val="00485CD0"/>
    <w:rsid w:val="004905FF"/>
    <w:rsid w:val="004B2EFB"/>
    <w:rsid w:val="004E6065"/>
    <w:rsid w:val="005240AA"/>
    <w:rsid w:val="00530EDF"/>
    <w:rsid w:val="0054274C"/>
    <w:rsid w:val="00551923"/>
    <w:rsid w:val="005771DC"/>
    <w:rsid w:val="00582073"/>
    <w:rsid w:val="005B56B4"/>
    <w:rsid w:val="005D0E21"/>
    <w:rsid w:val="005D1515"/>
    <w:rsid w:val="006075A1"/>
    <w:rsid w:val="00633AFE"/>
    <w:rsid w:val="006439EA"/>
    <w:rsid w:val="006515E3"/>
    <w:rsid w:val="00676F15"/>
    <w:rsid w:val="006A64A6"/>
    <w:rsid w:val="006E50BC"/>
    <w:rsid w:val="00725899"/>
    <w:rsid w:val="00742CCA"/>
    <w:rsid w:val="00772BB9"/>
    <w:rsid w:val="0077763F"/>
    <w:rsid w:val="007938A4"/>
    <w:rsid w:val="007B1D53"/>
    <w:rsid w:val="007B5439"/>
    <w:rsid w:val="007C083F"/>
    <w:rsid w:val="007C0FE8"/>
    <w:rsid w:val="007C52AB"/>
    <w:rsid w:val="007C62B9"/>
    <w:rsid w:val="007F7BB2"/>
    <w:rsid w:val="00824510"/>
    <w:rsid w:val="008440AF"/>
    <w:rsid w:val="00845ADC"/>
    <w:rsid w:val="008467A0"/>
    <w:rsid w:val="00850F55"/>
    <w:rsid w:val="00861DE4"/>
    <w:rsid w:val="00874B91"/>
    <w:rsid w:val="00880696"/>
    <w:rsid w:val="008B4906"/>
    <w:rsid w:val="008E3FA8"/>
    <w:rsid w:val="00914F76"/>
    <w:rsid w:val="0091713C"/>
    <w:rsid w:val="009215E7"/>
    <w:rsid w:val="009266E8"/>
    <w:rsid w:val="00926B62"/>
    <w:rsid w:val="009420D5"/>
    <w:rsid w:val="0094292D"/>
    <w:rsid w:val="00944A61"/>
    <w:rsid w:val="00965F2D"/>
    <w:rsid w:val="00993CA9"/>
    <w:rsid w:val="009A33AF"/>
    <w:rsid w:val="009B2EDA"/>
    <w:rsid w:val="009E066F"/>
    <w:rsid w:val="009F19C1"/>
    <w:rsid w:val="009F7B36"/>
    <w:rsid w:val="00A06E05"/>
    <w:rsid w:val="00A14329"/>
    <w:rsid w:val="00A3599B"/>
    <w:rsid w:val="00A443B9"/>
    <w:rsid w:val="00A544D1"/>
    <w:rsid w:val="00A60E77"/>
    <w:rsid w:val="00A92C08"/>
    <w:rsid w:val="00A93182"/>
    <w:rsid w:val="00AA1EFF"/>
    <w:rsid w:val="00AA2C92"/>
    <w:rsid w:val="00AD4F40"/>
    <w:rsid w:val="00B00495"/>
    <w:rsid w:val="00B25024"/>
    <w:rsid w:val="00B43CDE"/>
    <w:rsid w:val="00B60E12"/>
    <w:rsid w:val="00B6253D"/>
    <w:rsid w:val="00B86982"/>
    <w:rsid w:val="00BD1BEB"/>
    <w:rsid w:val="00BD4115"/>
    <w:rsid w:val="00C34480"/>
    <w:rsid w:val="00C541FB"/>
    <w:rsid w:val="00C8184F"/>
    <w:rsid w:val="00C90834"/>
    <w:rsid w:val="00CC2DA7"/>
    <w:rsid w:val="00CC575C"/>
    <w:rsid w:val="00CF510D"/>
    <w:rsid w:val="00D1618A"/>
    <w:rsid w:val="00D41A5A"/>
    <w:rsid w:val="00D760E9"/>
    <w:rsid w:val="00D8476D"/>
    <w:rsid w:val="00DB0FEF"/>
    <w:rsid w:val="00DC75BF"/>
    <w:rsid w:val="00DF4B83"/>
    <w:rsid w:val="00E2506A"/>
    <w:rsid w:val="00E65EAD"/>
    <w:rsid w:val="00EA2A1E"/>
    <w:rsid w:val="00EA4772"/>
    <w:rsid w:val="00EC0BDE"/>
    <w:rsid w:val="00EC3FCF"/>
    <w:rsid w:val="00F35FAD"/>
    <w:rsid w:val="00F737F1"/>
    <w:rsid w:val="00F76C1F"/>
    <w:rsid w:val="00F82ACE"/>
    <w:rsid w:val="00FD1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ADE4E"/>
  <w15:docId w15:val="{9B58F1B9-8F87-4194-8BA7-8E5F3889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457E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95D72-83B1-4590-88F5-D98EAA2D4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 Tim (RTR) South Tees NHS Trust</dc:creator>
  <cp:lastModifiedBy>Kaisa Berg</cp:lastModifiedBy>
  <cp:revision>2</cp:revision>
  <cp:lastPrinted>2019-01-28T14:31:00Z</cp:lastPrinted>
  <dcterms:created xsi:type="dcterms:W3CDTF">2023-06-23T13:23:00Z</dcterms:created>
  <dcterms:modified xsi:type="dcterms:W3CDTF">2023-06-23T13:23:00Z</dcterms:modified>
</cp:coreProperties>
</file>